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ACE" w:rsidRPr="00DC1100" w:rsidRDefault="00FB544D" w:rsidP="003D7053">
      <w:pPr>
        <w:spacing w:after="0" w:line="240" w:lineRule="auto"/>
        <w:ind w:left="-1134"/>
        <w:jc w:val="center"/>
        <w:rPr>
          <w:rFonts w:ascii="Times New Roman" w:hAnsi="Times New Roman" w:cs="Times New Roman"/>
          <w:b/>
          <w:sz w:val="32"/>
          <w:szCs w:val="32"/>
          <w:lang w:val="ro-RO"/>
        </w:rPr>
      </w:pPr>
      <w:r w:rsidRPr="00DC1100">
        <w:rPr>
          <w:rFonts w:ascii="Times New Roman" w:hAnsi="Times New Roman" w:cs="Times New Roman"/>
          <w:b/>
          <w:sz w:val="32"/>
          <w:szCs w:val="32"/>
          <w:lang w:val="ro-RO"/>
        </w:rPr>
        <w:t xml:space="preserve">    </w:t>
      </w:r>
      <w:r w:rsidR="00423B54" w:rsidRPr="00DC1100">
        <w:rPr>
          <w:rFonts w:ascii="Times New Roman" w:hAnsi="Times New Roman" w:cs="Times New Roman"/>
          <w:b/>
          <w:sz w:val="32"/>
          <w:szCs w:val="32"/>
          <w:lang w:val="ro-RO"/>
        </w:rPr>
        <w:t xml:space="preserve">   </w:t>
      </w:r>
      <w:r w:rsidRPr="00DC1100">
        <w:rPr>
          <w:rFonts w:ascii="Times New Roman" w:hAnsi="Times New Roman" w:cs="Times New Roman"/>
          <w:b/>
          <w:sz w:val="32"/>
          <w:szCs w:val="32"/>
          <w:lang w:val="ro-RO"/>
        </w:rPr>
        <w:t xml:space="preserve">   </w:t>
      </w:r>
      <w:r w:rsidR="00B81ACE" w:rsidRPr="00DC1100">
        <w:rPr>
          <w:rFonts w:ascii="Times New Roman" w:hAnsi="Times New Roman" w:cs="Times New Roman"/>
          <w:b/>
          <w:sz w:val="32"/>
          <w:szCs w:val="32"/>
          <w:lang w:val="ro-RO"/>
        </w:rPr>
        <w:t>Nota informativă</w:t>
      </w:r>
    </w:p>
    <w:p w:rsidR="00B81ACE" w:rsidRPr="00DC1100" w:rsidRDefault="00B81ACE" w:rsidP="00B81ACE">
      <w:pPr>
        <w:spacing w:after="0" w:line="240" w:lineRule="auto"/>
        <w:jc w:val="center"/>
        <w:rPr>
          <w:rFonts w:ascii="Times New Roman" w:hAnsi="Times New Roman" w:cs="Times New Roman"/>
          <w:b/>
          <w:sz w:val="32"/>
          <w:szCs w:val="32"/>
          <w:lang w:val="ro-RO"/>
        </w:rPr>
      </w:pPr>
      <w:r w:rsidRPr="00DC1100">
        <w:rPr>
          <w:rFonts w:ascii="Times New Roman" w:hAnsi="Times New Roman" w:cs="Times New Roman"/>
          <w:b/>
          <w:sz w:val="32"/>
          <w:szCs w:val="32"/>
          <w:lang w:val="ro-RO"/>
        </w:rPr>
        <w:t>privind activitatea de inspectare financiară desfăşurată</w:t>
      </w:r>
    </w:p>
    <w:p w:rsidR="00B81ACE" w:rsidRPr="00DC1100" w:rsidRDefault="00B81ACE" w:rsidP="00B81ACE">
      <w:pPr>
        <w:spacing w:after="0" w:line="240" w:lineRule="auto"/>
        <w:jc w:val="center"/>
        <w:rPr>
          <w:rFonts w:ascii="Times New Roman" w:hAnsi="Times New Roman" w:cs="Times New Roman"/>
          <w:b/>
          <w:sz w:val="32"/>
          <w:szCs w:val="32"/>
          <w:lang w:val="ro-RO"/>
        </w:rPr>
      </w:pPr>
      <w:r w:rsidRPr="00DC1100">
        <w:rPr>
          <w:rFonts w:ascii="Times New Roman" w:hAnsi="Times New Roman" w:cs="Times New Roman"/>
          <w:b/>
          <w:sz w:val="32"/>
          <w:szCs w:val="32"/>
          <w:lang w:val="ro-RO"/>
        </w:rPr>
        <w:t>de către Inspecţia Financiară pe parcur</w:t>
      </w:r>
      <w:r w:rsidR="00044A21" w:rsidRPr="00DC1100">
        <w:rPr>
          <w:rFonts w:ascii="Times New Roman" w:hAnsi="Times New Roman" w:cs="Times New Roman"/>
          <w:b/>
          <w:sz w:val="32"/>
          <w:szCs w:val="32"/>
          <w:lang w:val="ro-RO"/>
        </w:rPr>
        <w:t>sul anului 2017</w:t>
      </w:r>
    </w:p>
    <w:p w:rsidR="00B81ACE" w:rsidRPr="00DC1100" w:rsidRDefault="00B81ACE" w:rsidP="00B81ACE">
      <w:pPr>
        <w:spacing w:after="0"/>
        <w:jc w:val="center"/>
        <w:rPr>
          <w:rFonts w:ascii="Times New Roman" w:hAnsi="Times New Roman" w:cs="Times New Roman"/>
          <w:b/>
          <w:sz w:val="28"/>
          <w:szCs w:val="28"/>
          <w:lang w:val="ro-RO"/>
        </w:rPr>
      </w:pPr>
    </w:p>
    <w:p w:rsidR="00B81ACE" w:rsidRPr="00B8105F" w:rsidRDefault="00D671CB" w:rsidP="00B81ACE">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423B54" w:rsidRPr="00B8105F">
        <w:rPr>
          <w:rFonts w:ascii="Times New Roman" w:hAnsi="Times New Roman" w:cs="Times New Roman"/>
          <w:sz w:val="28"/>
          <w:szCs w:val="28"/>
          <w:lang w:val="ro-RO"/>
        </w:rPr>
        <w:t>P</w:t>
      </w:r>
      <w:r w:rsidR="00B81ACE" w:rsidRPr="00B8105F">
        <w:rPr>
          <w:rFonts w:ascii="Times New Roman" w:hAnsi="Times New Roman" w:cs="Times New Roman"/>
          <w:sz w:val="28"/>
          <w:szCs w:val="28"/>
          <w:lang w:val="ro-RO"/>
        </w:rPr>
        <w:t xml:space="preserve">e parcursul </w:t>
      </w:r>
      <w:r w:rsidR="00044A21" w:rsidRPr="00B8105F">
        <w:rPr>
          <w:rFonts w:ascii="Times New Roman" w:hAnsi="Times New Roman" w:cs="Times New Roman"/>
          <w:sz w:val="28"/>
          <w:szCs w:val="28"/>
          <w:lang w:val="ro-RO"/>
        </w:rPr>
        <w:t>anului 2017</w:t>
      </w:r>
      <w:r w:rsidR="00B81ACE" w:rsidRPr="00B8105F">
        <w:rPr>
          <w:rFonts w:ascii="Times New Roman" w:hAnsi="Times New Roman" w:cs="Times New Roman"/>
          <w:sz w:val="28"/>
          <w:szCs w:val="28"/>
          <w:lang w:val="ro-RO"/>
        </w:rPr>
        <w:t>,</w:t>
      </w:r>
      <w:r w:rsidR="00423B54" w:rsidRPr="00B8105F">
        <w:rPr>
          <w:rFonts w:ascii="Times New Roman" w:hAnsi="Times New Roman" w:cs="Times New Roman"/>
          <w:sz w:val="28"/>
          <w:szCs w:val="28"/>
          <w:lang w:val="ro-RO"/>
        </w:rPr>
        <w:t xml:space="preserve"> Inspecția Financiară din subordinea Ministerului Finanțelor</w:t>
      </w:r>
      <w:r w:rsidR="00B81ACE" w:rsidRPr="00B8105F">
        <w:rPr>
          <w:rFonts w:ascii="Times New Roman" w:hAnsi="Times New Roman" w:cs="Times New Roman"/>
          <w:sz w:val="28"/>
          <w:szCs w:val="28"/>
          <w:lang w:val="ro-RO"/>
        </w:rPr>
        <w:t xml:space="preserve"> ş</w:t>
      </w:r>
      <w:r w:rsidR="00423B54" w:rsidRPr="00B8105F">
        <w:rPr>
          <w:rFonts w:ascii="Times New Roman" w:hAnsi="Times New Roman" w:cs="Times New Roman"/>
          <w:sz w:val="28"/>
          <w:szCs w:val="28"/>
          <w:lang w:val="ro-RO"/>
        </w:rPr>
        <w:t>i-a desfăşurat activitatea în strictă conformitate cu Programul</w:t>
      </w:r>
      <w:r w:rsidR="00B81ACE" w:rsidRPr="00B8105F">
        <w:rPr>
          <w:rFonts w:ascii="Times New Roman" w:hAnsi="Times New Roman" w:cs="Times New Roman"/>
          <w:sz w:val="28"/>
          <w:szCs w:val="28"/>
          <w:lang w:val="ro-RO"/>
        </w:rPr>
        <w:t xml:space="preserve"> de activitate</w:t>
      </w:r>
      <w:r w:rsidR="00DC1100" w:rsidRPr="00B8105F">
        <w:rPr>
          <w:rFonts w:ascii="Times New Roman" w:hAnsi="Times New Roman" w:cs="Times New Roman"/>
          <w:sz w:val="28"/>
          <w:szCs w:val="28"/>
          <w:lang w:val="ro-RO"/>
        </w:rPr>
        <w:t>, aprobat de Ministerul Finanțelor,</w:t>
      </w:r>
      <w:r w:rsidR="00CC428D" w:rsidRPr="00B8105F">
        <w:rPr>
          <w:rFonts w:ascii="Times New Roman" w:hAnsi="Times New Roman" w:cs="Times New Roman"/>
          <w:sz w:val="28"/>
          <w:szCs w:val="28"/>
          <w:lang w:val="ro-RO"/>
        </w:rPr>
        <w:t xml:space="preserve"> </w:t>
      </w:r>
      <w:r w:rsidR="00DC1100" w:rsidRPr="00B8105F">
        <w:rPr>
          <w:rFonts w:ascii="Times New Roman" w:hAnsi="Times New Roman" w:cs="Times New Roman"/>
          <w:sz w:val="28"/>
          <w:szCs w:val="28"/>
          <w:lang w:val="ro-RO"/>
        </w:rPr>
        <w:t>elaborat în bază de riscuri,</w:t>
      </w:r>
      <w:r w:rsidRPr="00B8105F">
        <w:rPr>
          <w:rFonts w:ascii="Times New Roman" w:hAnsi="Times New Roman" w:cs="Times New Roman"/>
          <w:sz w:val="28"/>
          <w:szCs w:val="28"/>
          <w:lang w:val="ro-RO"/>
        </w:rPr>
        <w:t xml:space="preserve"> fiind inițiate inspectări financiare și </w:t>
      </w:r>
      <w:r w:rsidR="004277D4">
        <w:rPr>
          <w:rFonts w:ascii="Times New Roman" w:hAnsi="Times New Roman" w:cs="Times New Roman"/>
          <w:sz w:val="28"/>
          <w:szCs w:val="28"/>
          <w:lang w:val="ro-RO"/>
        </w:rPr>
        <w:t>la solicitarea</w:t>
      </w:r>
      <w:r w:rsidR="00B81ACE" w:rsidRPr="00B8105F">
        <w:rPr>
          <w:rFonts w:ascii="Times New Roman" w:hAnsi="Times New Roman" w:cs="Times New Roman"/>
          <w:sz w:val="28"/>
          <w:szCs w:val="28"/>
          <w:lang w:val="ro-RO"/>
        </w:rPr>
        <w:t xml:space="preserve"> </w:t>
      </w:r>
      <w:r w:rsidR="00DC1100" w:rsidRPr="00B8105F">
        <w:rPr>
          <w:rFonts w:ascii="Times New Roman" w:hAnsi="Times New Roman" w:cs="Times New Roman"/>
          <w:sz w:val="28"/>
          <w:szCs w:val="28"/>
          <w:lang w:val="ro-RO"/>
        </w:rPr>
        <w:t>autorităților publice centrale și locale, organelor de drep</w:t>
      </w:r>
      <w:r w:rsidRPr="00B8105F">
        <w:rPr>
          <w:rFonts w:ascii="Times New Roman" w:hAnsi="Times New Roman" w:cs="Times New Roman"/>
          <w:sz w:val="28"/>
          <w:szCs w:val="28"/>
          <w:lang w:val="ro-RO"/>
        </w:rPr>
        <w:t xml:space="preserve">t în cadrul urmăririi penale, </w:t>
      </w:r>
      <w:r w:rsidR="00DC1100" w:rsidRPr="00B8105F">
        <w:rPr>
          <w:rFonts w:ascii="Times New Roman" w:hAnsi="Times New Roman" w:cs="Times New Roman"/>
          <w:sz w:val="28"/>
          <w:szCs w:val="28"/>
          <w:lang w:val="ro-RO"/>
        </w:rPr>
        <w:t>sesizărilor cu privire la eventualele încălcări în gestionarea patrimoniului public și finanțelor publice.</w:t>
      </w:r>
    </w:p>
    <w:p w:rsidR="00B81ACE" w:rsidRPr="00B8105F" w:rsidRDefault="00B81ACE" w:rsidP="005A5F44">
      <w:pPr>
        <w:spacing w:after="0" w:line="360" w:lineRule="auto"/>
        <w:ind w:left="142" w:firstLine="425"/>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În cadrul inspectărilor, o deosebită atenţie a fost acordată respectării de către executorii de buget a cadrului normativ privind utilizarea conformă şi eficientă a mijloacelor financiare şi asigurării integrităţii patrimoniului public.</w:t>
      </w:r>
    </w:p>
    <w:p w:rsidR="00E701C3" w:rsidRDefault="005A1EE7" w:rsidP="00A55974">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Pe parcursul anului 2017, au fost efectuate în total </w:t>
      </w:r>
      <w:r w:rsidR="00790E95" w:rsidRPr="00B8105F">
        <w:rPr>
          <w:rFonts w:ascii="Times New Roman" w:hAnsi="Times New Roman" w:cs="Times New Roman"/>
          <w:sz w:val="28"/>
          <w:szCs w:val="28"/>
          <w:lang w:val="ro-RO"/>
        </w:rPr>
        <w:t>1410</w:t>
      </w:r>
      <w:r w:rsidR="00B81ACE" w:rsidRPr="00B8105F">
        <w:rPr>
          <w:rFonts w:ascii="Times New Roman" w:hAnsi="Times New Roman" w:cs="Times New Roman"/>
          <w:sz w:val="28"/>
          <w:szCs w:val="28"/>
          <w:lang w:val="ro-RO"/>
        </w:rPr>
        <w:t xml:space="preserve"> insp</w:t>
      </w:r>
      <w:r w:rsidR="00087D94" w:rsidRPr="00B8105F">
        <w:rPr>
          <w:rFonts w:ascii="Times New Roman" w:hAnsi="Times New Roman" w:cs="Times New Roman"/>
          <w:sz w:val="28"/>
          <w:szCs w:val="28"/>
          <w:lang w:val="ro-RO"/>
        </w:rPr>
        <w:t>ectări financiare,</w:t>
      </w:r>
      <w:r w:rsidR="00BE14FA" w:rsidRPr="00B8105F">
        <w:rPr>
          <w:rFonts w:ascii="Times New Roman" w:hAnsi="Times New Roman" w:cs="Times New Roman"/>
          <w:sz w:val="28"/>
          <w:szCs w:val="28"/>
          <w:lang w:val="ro-RO"/>
        </w:rPr>
        <w:t xml:space="preserve"> </w:t>
      </w:r>
      <w:r w:rsidRPr="00B8105F">
        <w:rPr>
          <w:rFonts w:ascii="Times New Roman" w:hAnsi="Times New Roman" w:cs="Times New Roman"/>
          <w:sz w:val="28"/>
          <w:szCs w:val="28"/>
          <w:lang w:val="ro-RO"/>
        </w:rPr>
        <w:t>dintre care</w:t>
      </w:r>
      <w:r w:rsidR="00087D94" w:rsidRPr="00B8105F">
        <w:rPr>
          <w:rFonts w:ascii="Times New Roman" w:hAnsi="Times New Roman" w:cs="Times New Roman"/>
          <w:sz w:val="28"/>
          <w:szCs w:val="28"/>
          <w:lang w:val="ro-RO"/>
        </w:rPr>
        <w:t xml:space="preserve"> </w:t>
      </w:r>
      <w:r w:rsidR="00790E95" w:rsidRPr="00B8105F">
        <w:rPr>
          <w:rFonts w:ascii="Times New Roman" w:hAnsi="Times New Roman" w:cs="Times New Roman"/>
          <w:sz w:val="28"/>
          <w:szCs w:val="28"/>
          <w:lang w:val="ro-RO"/>
        </w:rPr>
        <w:t>275</w:t>
      </w:r>
      <w:r w:rsidRPr="00B8105F">
        <w:rPr>
          <w:rFonts w:ascii="Times New Roman" w:hAnsi="Times New Roman" w:cs="Times New Roman"/>
          <w:sz w:val="28"/>
          <w:szCs w:val="28"/>
          <w:lang w:val="ro-RO"/>
        </w:rPr>
        <w:t xml:space="preserve"> -</w:t>
      </w:r>
      <w:r w:rsidR="00B81ACE" w:rsidRPr="00B8105F">
        <w:rPr>
          <w:rFonts w:ascii="Times New Roman" w:hAnsi="Times New Roman" w:cs="Times New Roman"/>
          <w:sz w:val="28"/>
          <w:szCs w:val="28"/>
          <w:lang w:val="ro-RO"/>
        </w:rPr>
        <w:t xml:space="preserve"> au constituit inspectări financiare </w:t>
      </w:r>
      <w:r w:rsidR="00087D94" w:rsidRPr="00B8105F">
        <w:rPr>
          <w:rFonts w:ascii="Times New Roman" w:hAnsi="Times New Roman" w:cs="Times New Roman"/>
          <w:sz w:val="28"/>
          <w:szCs w:val="28"/>
          <w:lang w:val="ro-RO"/>
        </w:rPr>
        <w:t>complexe  şi  </w:t>
      </w:r>
      <w:r w:rsidR="00790E95" w:rsidRPr="00B8105F">
        <w:rPr>
          <w:rFonts w:ascii="Times New Roman" w:hAnsi="Times New Roman" w:cs="Times New Roman"/>
          <w:sz w:val="28"/>
          <w:szCs w:val="28"/>
          <w:lang w:val="ro-RO"/>
        </w:rPr>
        <w:t>1135</w:t>
      </w:r>
      <w:r w:rsidR="00B81ACE" w:rsidRPr="00B8105F">
        <w:rPr>
          <w:rFonts w:ascii="Times New Roman" w:hAnsi="Times New Roman" w:cs="Times New Roman"/>
          <w:sz w:val="28"/>
          <w:szCs w:val="28"/>
          <w:lang w:val="ro-RO"/>
        </w:rPr>
        <w:t xml:space="preserve"> - inspectări financiare tematice</w:t>
      </w:r>
      <w:r w:rsidR="00D111BC" w:rsidRPr="00B8105F">
        <w:rPr>
          <w:rFonts w:ascii="Times New Roman" w:hAnsi="Times New Roman" w:cs="Times New Roman"/>
          <w:sz w:val="28"/>
          <w:szCs w:val="28"/>
          <w:lang w:val="ro-RO"/>
        </w:rPr>
        <w:t>.</w:t>
      </w:r>
      <w:r w:rsidR="00867CE2" w:rsidRPr="00B8105F">
        <w:rPr>
          <w:rFonts w:ascii="Times New Roman" w:hAnsi="Times New Roman" w:cs="Times New Roman"/>
          <w:sz w:val="28"/>
          <w:szCs w:val="28"/>
          <w:lang w:val="ro-RO"/>
        </w:rPr>
        <w:t xml:space="preserve"> </w:t>
      </w:r>
    </w:p>
    <w:p w:rsidR="008727DB" w:rsidRDefault="008727DB" w:rsidP="00A55974">
      <w:pPr>
        <w:spacing w:after="0" w:line="360" w:lineRule="auto"/>
        <w:ind w:firstLine="567"/>
        <w:jc w:val="both"/>
        <w:rPr>
          <w:rFonts w:ascii="Times New Roman" w:hAnsi="Times New Roman" w:cs="Times New Roman"/>
          <w:sz w:val="28"/>
          <w:szCs w:val="28"/>
          <w:lang w:val="ro-RO"/>
        </w:rPr>
      </w:pPr>
    </w:p>
    <w:p w:rsidR="00D6267F" w:rsidRPr="00B8105F" w:rsidRDefault="00D6267F" w:rsidP="00A55974">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drawing>
          <wp:inline distT="0" distB="0" distL="0" distR="0">
            <wp:extent cx="5499156" cy="1693628"/>
            <wp:effectExtent l="19050" t="0" r="25344" b="1822"/>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92B8A" w:rsidRDefault="00692B8A" w:rsidP="005A1EE7">
      <w:pPr>
        <w:spacing w:after="0" w:line="360" w:lineRule="auto"/>
        <w:ind w:firstLine="567"/>
        <w:jc w:val="both"/>
        <w:rPr>
          <w:rFonts w:ascii="Times New Roman" w:hAnsi="Times New Roman" w:cs="Times New Roman"/>
          <w:sz w:val="28"/>
          <w:szCs w:val="28"/>
          <w:lang w:val="ro-RO"/>
        </w:rPr>
      </w:pPr>
    </w:p>
    <w:p w:rsidR="00D6267F" w:rsidRPr="006734A1" w:rsidRDefault="00692B8A" w:rsidP="005A1EE7">
      <w:pPr>
        <w:spacing w:after="0" w:line="360" w:lineRule="auto"/>
        <w:ind w:firstLine="567"/>
        <w:jc w:val="both"/>
        <w:rPr>
          <w:rFonts w:ascii="Times New Roman" w:hAnsi="Times New Roman" w:cs="Times New Roman"/>
          <w:sz w:val="28"/>
          <w:szCs w:val="28"/>
          <w:lang w:val="ro-RO"/>
        </w:rPr>
      </w:pPr>
      <w:r w:rsidRPr="006734A1">
        <w:rPr>
          <w:rFonts w:ascii="Times New Roman" w:hAnsi="Times New Roman" w:cs="Times New Roman"/>
          <w:sz w:val="28"/>
          <w:szCs w:val="28"/>
          <w:lang w:val="ro-RO"/>
        </w:rPr>
        <w:t>Din numărul total de inspectări financiare</w:t>
      </w:r>
      <w:r w:rsidR="00F11D97">
        <w:rPr>
          <w:rFonts w:ascii="Times New Roman" w:hAnsi="Times New Roman" w:cs="Times New Roman"/>
          <w:sz w:val="28"/>
          <w:szCs w:val="28"/>
          <w:lang w:val="ro-RO"/>
        </w:rPr>
        <w:t>,</w:t>
      </w:r>
      <w:r w:rsidRPr="006734A1">
        <w:rPr>
          <w:rFonts w:ascii="Times New Roman" w:hAnsi="Times New Roman" w:cs="Times New Roman"/>
          <w:sz w:val="28"/>
          <w:szCs w:val="28"/>
          <w:lang w:val="ro-RO"/>
        </w:rPr>
        <w:t xml:space="preserve"> l</w:t>
      </w:r>
      <w:r w:rsidR="00E701C3" w:rsidRPr="006734A1">
        <w:rPr>
          <w:rFonts w:ascii="Times New Roman" w:hAnsi="Times New Roman" w:cs="Times New Roman"/>
          <w:sz w:val="28"/>
          <w:szCs w:val="28"/>
          <w:lang w:val="ro-RO"/>
        </w:rPr>
        <w:t>a instituţiile</w:t>
      </w:r>
      <w:r w:rsidRPr="006734A1">
        <w:rPr>
          <w:rFonts w:ascii="Times New Roman" w:hAnsi="Times New Roman" w:cs="Times New Roman"/>
          <w:sz w:val="28"/>
          <w:szCs w:val="28"/>
          <w:lang w:val="ro-RO"/>
        </w:rPr>
        <w:t xml:space="preserve"> bugetare</w:t>
      </w:r>
      <w:r w:rsidR="00E701C3" w:rsidRPr="006734A1">
        <w:rPr>
          <w:rFonts w:ascii="Times New Roman" w:hAnsi="Times New Roman" w:cs="Times New Roman"/>
          <w:sz w:val="28"/>
          <w:szCs w:val="28"/>
          <w:lang w:val="ro-RO"/>
        </w:rPr>
        <w:t xml:space="preserve"> au fost efectuate </w:t>
      </w:r>
      <w:r w:rsidR="00790E95" w:rsidRPr="006734A1">
        <w:rPr>
          <w:rFonts w:ascii="Times New Roman" w:hAnsi="Times New Roman" w:cs="Times New Roman"/>
          <w:sz w:val="28"/>
          <w:szCs w:val="28"/>
          <w:lang w:val="ro-RO"/>
        </w:rPr>
        <w:t>409</w:t>
      </w:r>
      <w:r w:rsidR="00867CE2" w:rsidRPr="006734A1">
        <w:rPr>
          <w:rFonts w:ascii="Times New Roman" w:hAnsi="Times New Roman" w:cs="Times New Roman"/>
          <w:sz w:val="28"/>
          <w:szCs w:val="28"/>
          <w:lang w:val="ro-RO"/>
        </w:rPr>
        <w:t xml:space="preserve"> inspectări, la U</w:t>
      </w:r>
      <w:r w:rsidR="00D671CB" w:rsidRPr="006734A1">
        <w:rPr>
          <w:rFonts w:ascii="Times New Roman" w:hAnsi="Times New Roman" w:cs="Times New Roman"/>
          <w:sz w:val="28"/>
          <w:szCs w:val="28"/>
          <w:lang w:val="ro-RO"/>
        </w:rPr>
        <w:t xml:space="preserve">nitățile </w:t>
      </w:r>
      <w:r w:rsidR="00867CE2" w:rsidRPr="006734A1">
        <w:rPr>
          <w:rFonts w:ascii="Times New Roman" w:hAnsi="Times New Roman" w:cs="Times New Roman"/>
          <w:sz w:val="28"/>
          <w:szCs w:val="28"/>
          <w:lang w:val="ro-RO"/>
        </w:rPr>
        <w:t>A</w:t>
      </w:r>
      <w:r w:rsidR="00D671CB" w:rsidRPr="006734A1">
        <w:rPr>
          <w:rFonts w:ascii="Times New Roman" w:hAnsi="Times New Roman" w:cs="Times New Roman"/>
          <w:sz w:val="28"/>
          <w:szCs w:val="28"/>
          <w:lang w:val="ro-RO"/>
        </w:rPr>
        <w:t xml:space="preserve">dministrativ </w:t>
      </w:r>
      <w:r w:rsidR="00867CE2" w:rsidRPr="006734A1">
        <w:rPr>
          <w:rFonts w:ascii="Times New Roman" w:hAnsi="Times New Roman" w:cs="Times New Roman"/>
          <w:sz w:val="28"/>
          <w:szCs w:val="28"/>
          <w:lang w:val="ro-RO"/>
        </w:rPr>
        <w:t>T</w:t>
      </w:r>
      <w:r w:rsidR="00D671CB" w:rsidRPr="006734A1">
        <w:rPr>
          <w:rFonts w:ascii="Times New Roman" w:hAnsi="Times New Roman" w:cs="Times New Roman"/>
          <w:sz w:val="28"/>
          <w:szCs w:val="28"/>
          <w:lang w:val="ro-RO"/>
        </w:rPr>
        <w:t>eritoriale</w:t>
      </w:r>
      <w:r w:rsidRPr="006734A1">
        <w:rPr>
          <w:rFonts w:ascii="Times New Roman" w:hAnsi="Times New Roman" w:cs="Times New Roman"/>
          <w:sz w:val="28"/>
          <w:szCs w:val="28"/>
          <w:lang w:val="ro-RO"/>
        </w:rPr>
        <w:t xml:space="preserve"> </w:t>
      </w:r>
      <w:r w:rsidR="00867CE2" w:rsidRPr="006734A1">
        <w:rPr>
          <w:rFonts w:ascii="Times New Roman" w:hAnsi="Times New Roman" w:cs="Times New Roman"/>
          <w:sz w:val="28"/>
          <w:szCs w:val="28"/>
          <w:lang w:val="ro-RO"/>
        </w:rPr>
        <w:t xml:space="preserve"> de nivelul I şi II – </w:t>
      </w:r>
      <w:r w:rsidR="00790E95" w:rsidRPr="006734A1">
        <w:rPr>
          <w:rFonts w:ascii="Times New Roman" w:hAnsi="Times New Roman" w:cs="Times New Roman"/>
          <w:sz w:val="28"/>
          <w:szCs w:val="28"/>
          <w:lang w:val="ro-RO"/>
        </w:rPr>
        <w:t>387</w:t>
      </w:r>
      <w:r w:rsidR="00D671CB" w:rsidRPr="006734A1">
        <w:rPr>
          <w:rFonts w:ascii="Times New Roman" w:hAnsi="Times New Roman" w:cs="Times New Roman"/>
          <w:sz w:val="28"/>
          <w:szCs w:val="28"/>
          <w:lang w:val="ro-RO"/>
        </w:rPr>
        <w:t xml:space="preserve"> inspectări, Întreprinderi de </w:t>
      </w:r>
      <w:r w:rsidR="00867CE2" w:rsidRPr="006734A1">
        <w:rPr>
          <w:rFonts w:ascii="Times New Roman" w:hAnsi="Times New Roman" w:cs="Times New Roman"/>
          <w:sz w:val="28"/>
          <w:szCs w:val="28"/>
          <w:lang w:val="ro-RO"/>
        </w:rPr>
        <w:t>S</w:t>
      </w:r>
      <w:r w:rsidR="00D671CB" w:rsidRPr="006734A1">
        <w:rPr>
          <w:rFonts w:ascii="Times New Roman" w:hAnsi="Times New Roman" w:cs="Times New Roman"/>
          <w:sz w:val="28"/>
          <w:szCs w:val="28"/>
          <w:lang w:val="ro-RO"/>
        </w:rPr>
        <w:t>tat</w:t>
      </w:r>
      <w:r w:rsidR="00867CE2" w:rsidRPr="006734A1">
        <w:rPr>
          <w:rFonts w:ascii="Times New Roman" w:hAnsi="Times New Roman" w:cs="Times New Roman"/>
          <w:sz w:val="28"/>
          <w:szCs w:val="28"/>
          <w:lang w:val="ro-RO"/>
        </w:rPr>
        <w:t xml:space="preserve"> – </w:t>
      </w:r>
      <w:r w:rsidR="00790E95" w:rsidRPr="006734A1">
        <w:rPr>
          <w:rFonts w:ascii="Times New Roman" w:hAnsi="Times New Roman" w:cs="Times New Roman"/>
          <w:sz w:val="28"/>
          <w:szCs w:val="28"/>
          <w:lang w:val="ro-RO"/>
        </w:rPr>
        <w:t>73</w:t>
      </w:r>
      <w:r w:rsidR="00D671CB" w:rsidRPr="006734A1">
        <w:rPr>
          <w:rFonts w:ascii="Times New Roman" w:hAnsi="Times New Roman" w:cs="Times New Roman"/>
          <w:sz w:val="28"/>
          <w:szCs w:val="28"/>
          <w:lang w:val="ro-RO"/>
        </w:rPr>
        <w:t xml:space="preserve">, Întreprinderi </w:t>
      </w:r>
      <w:r w:rsidR="00867CE2" w:rsidRPr="006734A1">
        <w:rPr>
          <w:rFonts w:ascii="Times New Roman" w:hAnsi="Times New Roman" w:cs="Times New Roman"/>
          <w:sz w:val="28"/>
          <w:szCs w:val="28"/>
          <w:lang w:val="ro-RO"/>
        </w:rPr>
        <w:t>M</w:t>
      </w:r>
      <w:r w:rsidR="00D671CB" w:rsidRPr="006734A1">
        <w:rPr>
          <w:rFonts w:ascii="Times New Roman" w:hAnsi="Times New Roman" w:cs="Times New Roman"/>
          <w:sz w:val="28"/>
          <w:szCs w:val="28"/>
          <w:lang w:val="ro-RO"/>
        </w:rPr>
        <w:t xml:space="preserve">unicipale </w:t>
      </w:r>
      <w:r w:rsidR="00867CE2" w:rsidRPr="006734A1">
        <w:rPr>
          <w:rFonts w:ascii="Times New Roman" w:hAnsi="Times New Roman" w:cs="Times New Roman"/>
          <w:sz w:val="28"/>
          <w:szCs w:val="28"/>
          <w:lang w:val="ro-RO"/>
        </w:rPr>
        <w:t xml:space="preserve">- </w:t>
      </w:r>
      <w:r w:rsidR="00790E95" w:rsidRPr="006734A1">
        <w:rPr>
          <w:rFonts w:ascii="Times New Roman" w:hAnsi="Times New Roman" w:cs="Times New Roman"/>
          <w:sz w:val="28"/>
          <w:szCs w:val="28"/>
          <w:lang w:val="ro-RO"/>
        </w:rPr>
        <w:t>100</w:t>
      </w:r>
      <w:r w:rsidR="00D671CB" w:rsidRPr="006734A1">
        <w:rPr>
          <w:rFonts w:ascii="Times New Roman" w:hAnsi="Times New Roman" w:cs="Times New Roman"/>
          <w:sz w:val="28"/>
          <w:szCs w:val="28"/>
          <w:lang w:val="ro-RO"/>
        </w:rPr>
        <w:t xml:space="preserve">, Societăți pe </w:t>
      </w:r>
      <w:r w:rsidR="00867CE2" w:rsidRPr="006734A1">
        <w:rPr>
          <w:rFonts w:ascii="Times New Roman" w:hAnsi="Times New Roman" w:cs="Times New Roman"/>
          <w:sz w:val="28"/>
          <w:szCs w:val="28"/>
          <w:lang w:val="ro-RO"/>
        </w:rPr>
        <w:t>A</w:t>
      </w:r>
      <w:r w:rsidR="00D671CB" w:rsidRPr="006734A1">
        <w:rPr>
          <w:rFonts w:ascii="Times New Roman" w:hAnsi="Times New Roman" w:cs="Times New Roman"/>
          <w:sz w:val="28"/>
          <w:szCs w:val="28"/>
          <w:lang w:val="ro-RO"/>
        </w:rPr>
        <w:t>cțiuni (cu capital de stat)</w:t>
      </w:r>
      <w:r w:rsidR="00867CE2" w:rsidRPr="006734A1">
        <w:rPr>
          <w:rFonts w:ascii="Times New Roman" w:hAnsi="Times New Roman" w:cs="Times New Roman"/>
          <w:sz w:val="28"/>
          <w:szCs w:val="28"/>
          <w:lang w:val="ro-RO"/>
        </w:rPr>
        <w:t xml:space="preserve"> – </w:t>
      </w:r>
      <w:r w:rsidR="00790E95" w:rsidRPr="006734A1">
        <w:rPr>
          <w:rFonts w:ascii="Times New Roman" w:hAnsi="Times New Roman" w:cs="Times New Roman"/>
          <w:sz w:val="28"/>
          <w:szCs w:val="28"/>
          <w:lang w:val="ro-RO"/>
        </w:rPr>
        <w:t>49</w:t>
      </w:r>
      <w:r w:rsidR="00867CE2" w:rsidRPr="006734A1">
        <w:rPr>
          <w:rFonts w:ascii="Times New Roman" w:hAnsi="Times New Roman" w:cs="Times New Roman"/>
          <w:sz w:val="28"/>
          <w:szCs w:val="28"/>
          <w:lang w:val="ro-RO"/>
        </w:rPr>
        <w:t>, la alte entităţi</w:t>
      </w:r>
      <w:r w:rsidR="00D671CB" w:rsidRPr="006734A1">
        <w:rPr>
          <w:rFonts w:ascii="Times New Roman" w:hAnsi="Times New Roman" w:cs="Times New Roman"/>
          <w:sz w:val="28"/>
          <w:szCs w:val="28"/>
          <w:lang w:val="ro-RO"/>
        </w:rPr>
        <w:t xml:space="preserve"> publice</w:t>
      </w:r>
      <w:r w:rsidR="00867CE2" w:rsidRPr="006734A1">
        <w:rPr>
          <w:rFonts w:ascii="Times New Roman" w:hAnsi="Times New Roman" w:cs="Times New Roman"/>
          <w:sz w:val="28"/>
          <w:szCs w:val="28"/>
          <w:lang w:val="ro-RO"/>
        </w:rPr>
        <w:t xml:space="preserve"> – </w:t>
      </w:r>
      <w:r w:rsidR="00790E95" w:rsidRPr="006734A1">
        <w:rPr>
          <w:rFonts w:ascii="Times New Roman" w:hAnsi="Times New Roman" w:cs="Times New Roman"/>
          <w:sz w:val="28"/>
          <w:szCs w:val="28"/>
          <w:lang w:val="ro-RO"/>
        </w:rPr>
        <w:t>3</w:t>
      </w:r>
      <w:r w:rsidR="008600C8" w:rsidRPr="006734A1">
        <w:rPr>
          <w:rFonts w:ascii="Times New Roman" w:hAnsi="Times New Roman" w:cs="Times New Roman"/>
          <w:sz w:val="28"/>
          <w:szCs w:val="28"/>
          <w:lang w:val="ro-RO"/>
        </w:rPr>
        <w:t>92</w:t>
      </w:r>
      <w:r w:rsidR="00867CE2" w:rsidRPr="006734A1">
        <w:rPr>
          <w:rFonts w:ascii="Times New Roman" w:hAnsi="Times New Roman" w:cs="Times New Roman"/>
          <w:sz w:val="28"/>
          <w:szCs w:val="28"/>
          <w:lang w:val="ro-RO"/>
        </w:rPr>
        <w:t xml:space="preserve"> inspectări.</w:t>
      </w:r>
    </w:p>
    <w:p w:rsidR="005A1EE7" w:rsidRPr="00B8105F" w:rsidRDefault="00A55974" w:rsidP="005A1EE7">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lastRenderedPageBreak/>
        <w:t xml:space="preserve">  </w:t>
      </w:r>
      <w:r w:rsidR="00D6267F">
        <w:rPr>
          <w:rFonts w:ascii="Times New Roman" w:hAnsi="Times New Roman" w:cs="Times New Roman"/>
          <w:noProof/>
          <w:sz w:val="28"/>
          <w:szCs w:val="28"/>
        </w:rPr>
        <w:drawing>
          <wp:inline distT="0" distB="0" distL="0" distR="0">
            <wp:extent cx="5030028" cy="3204375"/>
            <wp:effectExtent l="19050" t="0" r="18222"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563C7" w:rsidRDefault="008563C7" w:rsidP="00BE14FA">
      <w:pPr>
        <w:spacing w:after="0" w:line="360" w:lineRule="auto"/>
        <w:ind w:firstLine="567"/>
        <w:jc w:val="both"/>
        <w:rPr>
          <w:rFonts w:ascii="Times New Roman" w:hAnsi="Times New Roman" w:cs="Times New Roman"/>
          <w:sz w:val="28"/>
          <w:szCs w:val="28"/>
          <w:lang w:val="ro-RO"/>
        </w:rPr>
      </w:pPr>
    </w:p>
    <w:p w:rsidR="008563C7" w:rsidRDefault="008563C7" w:rsidP="00BE14FA">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La num</w:t>
      </w:r>
      <w:r w:rsidRPr="00B8105F">
        <w:rPr>
          <w:rFonts w:ascii="Times New Roman" w:hAnsi="Times New Roman" w:cs="Times New Roman"/>
          <w:sz w:val="28"/>
          <w:szCs w:val="28"/>
          <w:lang w:val="ro-RO"/>
        </w:rPr>
        <w:t>ă</w:t>
      </w:r>
      <w:r>
        <w:rPr>
          <w:rFonts w:ascii="Times New Roman" w:hAnsi="Times New Roman" w:cs="Times New Roman"/>
          <w:sz w:val="28"/>
          <w:szCs w:val="28"/>
          <w:lang w:val="ro-RO"/>
        </w:rPr>
        <w:t xml:space="preserve">rul </w:t>
      </w:r>
      <w:r w:rsidR="00D671CB" w:rsidRPr="00B8105F">
        <w:rPr>
          <w:rFonts w:ascii="Times New Roman" w:hAnsi="Times New Roman" w:cs="Times New Roman"/>
          <w:sz w:val="28"/>
          <w:szCs w:val="28"/>
          <w:lang w:val="ro-RO"/>
        </w:rPr>
        <w:t>total de 141</w:t>
      </w:r>
      <w:r w:rsidR="008F3B38" w:rsidRPr="00B8105F">
        <w:rPr>
          <w:rFonts w:ascii="Times New Roman" w:hAnsi="Times New Roman" w:cs="Times New Roman"/>
          <w:sz w:val="28"/>
          <w:szCs w:val="28"/>
          <w:lang w:val="ro-RO"/>
        </w:rPr>
        <w:t>0</w:t>
      </w:r>
      <w:r w:rsidR="00D671CB" w:rsidRPr="00B8105F">
        <w:rPr>
          <w:rFonts w:ascii="Times New Roman" w:hAnsi="Times New Roman" w:cs="Times New Roman"/>
          <w:sz w:val="28"/>
          <w:szCs w:val="28"/>
          <w:lang w:val="ro-RO"/>
        </w:rPr>
        <w:t xml:space="preserve"> inspectări efectuate</w:t>
      </w:r>
      <w:r w:rsidR="005A1EE7" w:rsidRPr="00B8105F">
        <w:rPr>
          <w:rFonts w:ascii="Times New Roman" w:hAnsi="Times New Roman" w:cs="Times New Roman"/>
          <w:sz w:val="28"/>
          <w:szCs w:val="28"/>
          <w:lang w:val="ro-RO"/>
        </w:rPr>
        <w:t xml:space="preserve">, </w:t>
      </w:r>
      <w:r w:rsidR="00C83B89" w:rsidRPr="00B8105F">
        <w:rPr>
          <w:rFonts w:ascii="Times New Roman" w:hAnsi="Times New Roman" w:cs="Times New Roman"/>
          <w:sz w:val="28"/>
          <w:szCs w:val="28"/>
          <w:lang w:val="ro-RO"/>
        </w:rPr>
        <w:t>516</w:t>
      </w:r>
      <w:r w:rsidR="005A1EE7" w:rsidRPr="00B8105F">
        <w:rPr>
          <w:rFonts w:ascii="Times New Roman" w:hAnsi="Times New Roman" w:cs="Times New Roman"/>
          <w:sz w:val="28"/>
          <w:szCs w:val="28"/>
          <w:lang w:val="ro-RO"/>
        </w:rPr>
        <w:t xml:space="preserve"> - au constituit inspectări </w:t>
      </w:r>
      <w:r w:rsidR="00D671CB" w:rsidRPr="00B8105F">
        <w:rPr>
          <w:rFonts w:ascii="Times New Roman" w:hAnsi="Times New Roman" w:cs="Times New Roman"/>
          <w:sz w:val="28"/>
          <w:szCs w:val="28"/>
          <w:lang w:val="ro-RO"/>
        </w:rPr>
        <w:t xml:space="preserve">financiare </w:t>
      </w:r>
      <w:r w:rsidR="005A1EE7" w:rsidRPr="00B8105F">
        <w:rPr>
          <w:rFonts w:ascii="Times New Roman" w:hAnsi="Times New Roman" w:cs="Times New Roman"/>
          <w:sz w:val="28"/>
          <w:szCs w:val="28"/>
          <w:lang w:val="ro-RO"/>
        </w:rPr>
        <w:t>planificate şi 89</w:t>
      </w:r>
      <w:r w:rsidR="00C83B89" w:rsidRPr="00B8105F">
        <w:rPr>
          <w:rFonts w:ascii="Times New Roman" w:hAnsi="Times New Roman" w:cs="Times New Roman"/>
          <w:sz w:val="28"/>
          <w:szCs w:val="28"/>
          <w:lang w:val="ro-RO"/>
        </w:rPr>
        <w:t>4</w:t>
      </w:r>
      <w:r w:rsidR="005A1EE7" w:rsidRPr="00B8105F">
        <w:rPr>
          <w:rFonts w:ascii="Times New Roman" w:hAnsi="Times New Roman" w:cs="Times New Roman"/>
          <w:sz w:val="28"/>
          <w:szCs w:val="28"/>
          <w:lang w:val="ro-RO"/>
        </w:rPr>
        <w:t> - inspe</w:t>
      </w:r>
      <w:r w:rsidR="00D671CB" w:rsidRPr="00B8105F">
        <w:rPr>
          <w:rFonts w:ascii="Times New Roman" w:hAnsi="Times New Roman" w:cs="Times New Roman"/>
          <w:sz w:val="28"/>
          <w:szCs w:val="28"/>
          <w:lang w:val="ro-RO"/>
        </w:rPr>
        <w:t>ctări financiare neplanificate</w:t>
      </w:r>
      <w:r w:rsidR="00F138F4" w:rsidRPr="00B8105F">
        <w:rPr>
          <w:rFonts w:ascii="Times New Roman" w:hAnsi="Times New Roman" w:cs="Times New Roman"/>
          <w:sz w:val="28"/>
          <w:szCs w:val="28"/>
          <w:lang w:val="ro-RO"/>
        </w:rPr>
        <w:t>. Motivul efectuării inspectărilor financiare au fost</w:t>
      </w:r>
      <w:r w:rsidR="00C048C6" w:rsidRPr="00B8105F">
        <w:rPr>
          <w:rFonts w:ascii="Times New Roman" w:hAnsi="Times New Roman" w:cs="Times New Roman"/>
          <w:sz w:val="28"/>
          <w:szCs w:val="28"/>
          <w:lang w:val="ro-RO"/>
        </w:rPr>
        <w:t>:</w:t>
      </w:r>
      <w:r w:rsidR="00F138F4" w:rsidRPr="00B8105F">
        <w:rPr>
          <w:rFonts w:ascii="Times New Roman" w:hAnsi="Times New Roman" w:cs="Times New Roman"/>
          <w:sz w:val="28"/>
          <w:szCs w:val="28"/>
          <w:lang w:val="ro-RO"/>
        </w:rPr>
        <w:t xml:space="preserve"> </w:t>
      </w:r>
      <w:r w:rsidR="005A1EE7" w:rsidRPr="00B8105F">
        <w:rPr>
          <w:rFonts w:ascii="Times New Roman" w:hAnsi="Times New Roman" w:cs="Times New Roman"/>
          <w:sz w:val="28"/>
          <w:szCs w:val="28"/>
          <w:lang w:val="ro-RO"/>
        </w:rPr>
        <w:t>403</w:t>
      </w:r>
      <w:r w:rsidR="00F138F4" w:rsidRPr="00B8105F">
        <w:rPr>
          <w:rFonts w:ascii="Times New Roman" w:hAnsi="Times New Roman" w:cs="Times New Roman"/>
          <w:sz w:val="28"/>
          <w:szCs w:val="28"/>
          <w:lang w:val="ro-RO"/>
        </w:rPr>
        <w:t xml:space="preserve"> - inspectări</w:t>
      </w:r>
      <w:r w:rsidR="005A1EE7" w:rsidRPr="00B8105F">
        <w:rPr>
          <w:rFonts w:ascii="Times New Roman" w:hAnsi="Times New Roman" w:cs="Times New Roman"/>
          <w:sz w:val="28"/>
          <w:szCs w:val="28"/>
          <w:lang w:val="ro-RO"/>
        </w:rPr>
        <w:t xml:space="preserve"> efectuate în baza de riscuri, 10</w:t>
      </w:r>
      <w:r w:rsidR="00C83B89" w:rsidRPr="00B8105F">
        <w:rPr>
          <w:rFonts w:ascii="Times New Roman" w:hAnsi="Times New Roman" w:cs="Times New Roman"/>
          <w:sz w:val="28"/>
          <w:szCs w:val="28"/>
          <w:lang w:val="ro-RO"/>
        </w:rPr>
        <w:t>1</w:t>
      </w:r>
      <w:r w:rsidR="00F138F4" w:rsidRPr="00B8105F">
        <w:rPr>
          <w:rFonts w:ascii="Times New Roman" w:hAnsi="Times New Roman" w:cs="Times New Roman"/>
          <w:sz w:val="28"/>
          <w:szCs w:val="28"/>
          <w:lang w:val="ro-RO"/>
        </w:rPr>
        <w:t xml:space="preserve"> - </w:t>
      </w:r>
      <w:r w:rsidR="005A1EE7" w:rsidRPr="00B8105F">
        <w:rPr>
          <w:rFonts w:ascii="Times New Roman" w:hAnsi="Times New Roman" w:cs="Times New Roman"/>
          <w:sz w:val="28"/>
          <w:szCs w:val="28"/>
          <w:lang w:val="ro-RO"/>
        </w:rPr>
        <w:t xml:space="preserve">inspectări au fost efectuate </w:t>
      </w:r>
      <w:r w:rsidR="00C83B89" w:rsidRPr="00B8105F">
        <w:rPr>
          <w:rFonts w:ascii="Times New Roman" w:hAnsi="Times New Roman" w:cs="Times New Roman"/>
          <w:sz w:val="28"/>
          <w:szCs w:val="28"/>
          <w:lang w:val="ro-RO"/>
        </w:rPr>
        <w:t>la solicitarea</w:t>
      </w:r>
      <w:r w:rsidR="00C048C6" w:rsidRPr="00B8105F">
        <w:rPr>
          <w:rFonts w:ascii="Times New Roman" w:hAnsi="Times New Roman" w:cs="Times New Roman"/>
          <w:sz w:val="28"/>
          <w:szCs w:val="28"/>
          <w:lang w:val="ro-RO"/>
        </w:rPr>
        <w:t xml:space="preserve"> autorităților publice centrale</w:t>
      </w:r>
      <w:r w:rsidR="005A1EE7" w:rsidRPr="00B8105F">
        <w:rPr>
          <w:rFonts w:ascii="Times New Roman" w:hAnsi="Times New Roman" w:cs="Times New Roman"/>
          <w:sz w:val="28"/>
          <w:szCs w:val="28"/>
          <w:lang w:val="ro-RO"/>
        </w:rPr>
        <w:t>, 15</w:t>
      </w:r>
      <w:r w:rsidR="00C83B89" w:rsidRPr="00B8105F">
        <w:rPr>
          <w:rFonts w:ascii="Times New Roman" w:hAnsi="Times New Roman" w:cs="Times New Roman"/>
          <w:sz w:val="28"/>
          <w:szCs w:val="28"/>
          <w:lang w:val="ro-RO"/>
        </w:rPr>
        <w:t>0</w:t>
      </w:r>
      <w:r w:rsidR="005A1EE7" w:rsidRPr="00B8105F">
        <w:rPr>
          <w:rFonts w:ascii="Times New Roman" w:hAnsi="Times New Roman" w:cs="Times New Roman"/>
          <w:sz w:val="28"/>
          <w:szCs w:val="28"/>
          <w:lang w:val="ro-RO"/>
        </w:rPr>
        <w:t xml:space="preserve"> - la </w:t>
      </w:r>
      <w:r w:rsidR="00D671CB" w:rsidRPr="00B8105F">
        <w:rPr>
          <w:rFonts w:ascii="Times New Roman" w:hAnsi="Times New Roman" w:cs="Times New Roman"/>
          <w:sz w:val="28"/>
          <w:szCs w:val="28"/>
          <w:lang w:val="ro-RO"/>
        </w:rPr>
        <w:t>solicitarea</w:t>
      </w:r>
      <w:r w:rsidR="005A1EE7" w:rsidRPr="00B8105F">
        <w:rPr>
          <w:rFonts w:ascii="Times New Roman" w:hAnsi="Times New Roman" w:cs="Times New Roman"/>
          <w:sz w:val="28"/>
          <w:szCs w:val="28"/>
          <w:lang w:val="ro-RO"/>
        </w:rPr>
        <w:t xml:space="preserve"> Ministerului Finanţelor, 53</w:t>
      </w:r>
      <w:r w:rsidR="00C83B89" w:rsidRPr="00B8105F">
        <w:rPr>
          <w:rFonts w:ascii="Times New Roman" w:hAnsi="Times New Roman" w:cs="Times New Roman"/>
          <w:sz w:val="28"/>
          <w:szCs w:val="28"/>
          <w:lang w:val="ro-RO"/>
        </w:rPr>
        <w:t>2</w:t>
      </w:r>
      <w:r w:rsidR="005A1EE7" w:rsidRPr="00B8105F">
        <w:rPr>
          <w:rFonts w:ascii="Times New Roman" w:hAnsi="Times New Roman" w:cs="Times New Roman"/>
          <w:sz w:val="28"/>
          <w:szCs w:val="28"/>
          <w:lang w:val="ro-RO"/>
        </w:rPr>
        <w:t xml:space="preserve"> - la solicitarea organelor de drept, 22</w:t>
      </w:r>
      <w:r w:rsidR="00F138F4" w:rsidRPr="00B8105F">
        <w:rPr>
          <w:rFonts w:ascii="Times New Roman" w:hAnsi="Times New Roman" w:cs="Times New Roman"/>
          <w:sz w:val="28"/>
          <w:szCs w:val="28"/>
          <w:lang w:val="ro-RO"/>
        </w:rPr>
        <w:t>4</w:t>
      </w:r>
      <w:r w:rsidR="005A1EE7" w:rsidRPr="00B8105F">
        <w:rPr>
          <w:rFonts w:ascii="Times New Roman" w:hAnsi="Times New Roman" w:cs="Times New Roman"/>
          <w:sz w:val="28"/>
          <w:szCs w:val="28"/>
          <w:lang w:val="ro-RO"/>
        </w:rPr>
        <w:t xml:space="preserve"> - în baza altor </w:t>
      </w:r>
      <w:r w:rsidR="00D671CB" w:rsidRPr="00B8105F">
        <w:rPr>
          <w:rFonts w:ascii="Times New Roman" w:hAnsi="Times New Roman" w:cs="Times New Roman"/>
          <w:sz w:val="28"/>
          <w:szCs w:val="28"/>
          <w:lang w:val="ro-RO"/>
        </w:rPr>
        <w:t>sesizări</w:t>
      </w:r>
      <w:r w:rsidR="005A1EE7" w:rsidRPr="00B8105F">
        <w:rPr>
          <w:rFonts w:ascii="Times New Roman" w:hAnsi="Times New Roman" w:cs="Times New Roman"/>
          <w:sz w:val="28"/>
          <w:szCs w:val="28"/>
          <w:lang w:val="ro-RO"/>
        </w:rPr>
        <w:t>, petiţii şi rapoarte.</w:t>
      </w:r>
      <w:r w:rsidR="00A55974" w:rsidRPr="00B8105F">
        <w:rPr>
          <w:rFonts w:ascii="Times New Roman" w:hAnsi="Times New Roman" w:cs="Times New Roman"/>
          <w:sz w:val="28"/>
          <w:szCs w:val="28"/>
          <w:lang w:val="ro-RO"/>
        </w:rPr>
        <w:t xml:space="preserve">  </w:t>
      </w:r>
    </w:p>
    <w:p w:rsidR="00D6267F" w:rsidRDefault="00A55974" w:rsidP="00BE14FA">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          </w:t>
      </w:r>
    </w:p>
    <w:p w:rsidR="00B81ACE" w:rsidRPr="00B8105F" w:rsidRDefault="00D6267F" w:rsidP="00BE14FA">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drawing>
          <wp:inline distT="0" distB="0" distL="0" distR="0">
            <wp:extent cx="5486400" cy="3200400"/>
            <wp:effectExtent l="19050" t="0" r="1905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A55974" w:rsidRPr="00B8105F">
        <w:rPr>
          <w:rFonts w:ascii="Times New Roman" w:hAnsi="Times New Roman" w:cs="Times New Roman"/>
          <w:sz w:val="28"/>
          <w:szCs w:val="28"/>
          <w:lang w:val="ro-RO"/>
        </w:rPr>
        <w:t xml:space="preserve">    </w:t>
      </w:r>
    </w:p>
    <w:p w:rsidR="006734A1" w:rsidRDefault="00867CE2" w:rsidP="006734A1">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lastRenderedPageBreak/>
        <w:t xml:space="preserve">Volumul mijloacelor financiare alocate/inspectate </w:t>
      </w:r>
      <w:r w:rsidR="002325C1" w:rsidRPr="00B8105F">
        <w:rPr>
          <w:rFonts w:ascii="Times New Roman" w:hAnsi="Times New Roman" w:cs="Times New Roman"/>
          <w:sz w:val="28"/>
          <w:szCs w:val="28"/>
          <w:lang w:val="ro-RO"/>
        </w:rPr>
        <w:t>au constituit</w:t>
      </w:r>
      <w:r w:rsidRPr="00B8105F">
        <w:rPr>
          <w:rFonts w:ascii="Times New Roman" w:hAnsi="Times New Roman" w:cs="Times New Roman"/>
          <w:sz w:val="28"/>
          <w:szCs w:val="28"/>
          <w:lang w:val="ro-RO"/>
        </w:rPr>
        <w:t xml:space="preserve"> </w:t>
      </w:r>
      <w:r w:rsidR="008600C8" w:rsidRPr="00B8105F">
        <w:rPr>
          <w:rFonts w:ascii="Times New Roman" w:hAnsi="Times New Roman" w:cs="Times New Roman"/>
          <w:sz w:val="28"/>
          <w:szCs w:val="28"/>
          <w:lang w:val="ro-RO"/>
        </w:rPr>
        <w:t>14.7</w:t>
      </w:r>
      <w:r w:rsidRPr="00B8105F">
        <w:rPr>
          <w:rFonts w:ascii="Times New Roman" w:hAnsi="Times New Roman" w:cs="Times New Roman"/>
          <w:sz w:val="28"/>
          <w:szCs w:val="28"/>
          <w:lang w:val="ro-RO"/>
        </w:rPr>
        <w:t xml:space="preserve"> mil</w:t>
      </w:r>
      <w:r w:rsidR="00E701C3" w:rsidRPr="00B8105F">
        <w:rPr>
          <w:rFonts w:ascii="Times New Roman" w:hAnsi="Times New Roman" w:cs="Times New Roman"/>
          <w:sz w:val="28"/>
          <w:szCs w:val="28"/>
          <w:lang w:val="ro-RO"/>
        </w:rPr>
        <w:t>iarde lei</w:t>
      </w:r>
      <w:r w:rsidR="00910019" w:rsidRPr="00B8105F">
        <w:rPr>
          <w:rFonts w:ascii="Times New Roman" w:hAnsi="Times New Roman" w:cs="Times New Roman"/>
          <w:sz w:val="28"/>
          <w:szCs w:val="28"/>
          <w:lang w:val="ro-RO"/>
        </w:rPr>
        <w:t>, v</w:t>
      </w:r>
      <w:r w:rsidR="008600C8" w:rsidRPr="00B8105F">
        <w:rPr>
          <w:rFonts w:ascii="Times New Roman" w:hAnsi="Times New Roman" w:cs="Times New Roman"/>
          <w:sz w:val="28"/>
          <w:szCs w:val="28"/>
          <w:lang w:val="ro-RO"/>
        </w:rPr>
        <w:t>olumul veniturilor / cheltuielilor şi consumurilor au constituit 41,4 miliarde lei.</w:t>
      </w:r>
    </w:p>
    <w:p w:rsidR="00FA6FFF" w:rsidRDefault="00B81ACE" w:rsidP="006734A1">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Mate</w:t>
      </w:r>
      <w:r w:rsidR="0076585B" w:rsidRPr="00B8105F">
        <w:rPr>
          <w:rFonts w:ascii="Times New Roman" w:hAnsi="Times New Roman" w:cs="Times New Roman"/>
          <w:sz w:val="28"/>
          <w:szCs w:val="28"/>
          <w:lang w:val="ro-RO"/>
        </w:rPr>
        <w:t xml:space="preserve">rialele inspectărilor efectuate </w:t>
      </w:r>
      <w:r w:rsidR="00910019" w:rsidRPr="00B8105F">
        <w:rPr>
          <w:rFonts w:ascii="Times New Roman" w:hAnsi="Times New Roman" w:cs="Times New Roman"/>
          <w:sz w:val="28"/>
          <w:szCs w:val="28"/>
          <w:lang w:val="ro-RO"/>
        </w:rPr>
        <w:t>reflectă</w:t>
      </w:r>
      <w:r w:rsidRPr="00B8105F">
        <w:rPr>
          <w:rFonts w:ascii="Times New Roman" w:hAnsi="Times New Roman" w:cs="Times New Roman"/>
          <w:sz w:val="28"/>
          <w:szCs w:val="28"/>
          <w:lang w:val="ro-RO"/>
        </w:rPr>
        <w:t xml:space="preserve"> multiple lacune şi încălcări ale prevederilor legislaţiei şi a</w:t>
      </w:r>
      <w:r w:rsidR="00910019" w:rsidRPr="00B8105F">
        <w:rPr>
          <w:rFonts w:ascii="Times New Roman" w:hAnsi="Times New Roman" w:cs="Times New Roman"/>
          <w:sz w:val="28"/>
          <w:szCs w:val="28"/>
          <w:lang w:val="ro-RO"/>
        </w:rPr>
        <w:t xml:space="preserve">le actelor normative în vigoare. Astfel, la entităţile publice au fost </w:t>
      </w:r>
      <w:r w:rsidR="00BE14FA" w:rsidRPr="00B8105F">
        <w:rPr>
          <w:rFonts w:ascii="Times New Roman" w:hAnsi="Times New Roman" w:cs="Times New Roman"/>
          <w:sz w:val="28"/>
          <w:szCs w:val="28"/>
          <w:lang w:val="ro-RO"/>
        </w:rPr>
        <w:t xml:space="preserve">depistate încălcări </w:t>
      </w:r>
      <w:r w:rsidR="00910019" w:rsidRPr="00B8105F">
        <w:rPr>
          <w:rFonts w:ascii="Times New Roman" w:hAnsi="Times New Roman" w:cs="Times New Roman"/>
          <w:sz w:val="28"/>
          <w:szCs w:val="28"/>
          <w:lang w:val="ro-RO"/>
        </w:rPr>
        <w:t>cu un prejudiciu estimat</w:t>
      </w:r>
      <w:r w:rsidR="00BE14FA" w:rsidRPr="00B8105F">
        <w:rPr>
          <w:rFonts w:ascii="Times New Roman" w:hAnsi="Times New Roman" w:cs="Times New Roman"/>
          <w:sz w:val="28"/>
          <w:szCs w:val="28"/>
          <w:lang w:val="ro-RO"/>
        </w:rPr>
        <w:t xml:space="preserve"> </w:t>
      </w:r>
      <w:r w:rsidR="00B74578">
        <w:rPr>
          <w:rFonts w:ascii="Times New Roman" w:hAnsi="Times New Roman" w:cs="Times New Roman"/>
          <w:sz w:val="28"/>
          <w:szCs w:val="28"/>
          <w:lang w:val="ro-RO"/>
        </w:rPr>
        <w:t xml:space="preserve">în </w:t>
      </w:r>
      <w:r w:rsidR="00BE14FA" w:rsidRPr="00B8105F">
        <w:rPr>
          <w:rFonts w:ascii="Times New Roman" w:hAnsi="Times New Roman" w:cs="Times New Roman"/>
          <w:sz w:val="28"/>
          <w:szCs w:val="28"/>
          <w:lang w:val="ro-RO"/>
        </w:rPr>
        <w:t xml:space="preserve">sumă </w:t>
      </w:r>
      <w:r w:rsidR="007302E9" w:rsidRPr="00B8105F">
        <w:rPr>
          <w:rFonts w:ascii="Times New Roman" w:hAnsi="Times New Roman" w:cs="Times New Roman"/>
          <w:sz w:val="28"/>
          <w:szCs w:val="28"/>
          <w:lang w:val="ro-RO"/>
        </w:rPr>
        <w:t xml:space="preserve">totală </w:t>
      </w:r>
      <w:r w:rsidR="00BE14FA" w:rsidRPr="00B8105F">
        <w:rPr>
          <w:rFonts w:ascii="Times New Roman" w:hAnsi="Times New Roman" w:cs="Times New Roman"/>
          <w:sz w:val="28"/>
          <w:szCs w:val="28"/>
          <w:lang w:val="ro-RO"/>
        </w:rPr>
        <w:t xml:space="preserve">de </w:t>
      </w:r>
      <w:r w:rsidR="0095667F" w:rsidRPr="00B8105F">
        <w:rPr>
          <w:rFonts w:ascii="Times New Roman" w:hAnsi="Times New Roman" w:cs="Times New Roman"/>
          <w:sz w:val="28"/>
          <w:szCs w:val="28"/>
          <w:lang w:val="ro-RO"/>
        </w:rPr>
        <w:t>197,3</w:t>
      </w:r>
      <w:r w:rsidR="00910019" w:rsidRPr="00B8105F">
        <w:rPr>
          <w:rFonts w:ascii="Times New Roman" w:hAnsi="Times New Roman" w:cs="Times New Roman"/>
          <w:sz w:val="28"/>
          <w:szCs w:val="28"/>
          <w:lang w:val="ro-RO"/>
        </w:rPr>
        <w:t xml:space="preserve"> milioane lei, inclusiv</w:t>
      </w:r>
      <w:r w:rsidRPr="00B8105F">
        <w:rPr>
          <w:rFonts w:ascii="Times New Roman" w:hAnsi="Times New Roman" w:cs="Times New Roman"/>
          <w:sz w:val="28"/>
          <w:szCs w:val="28"/>
          <w:lang w:val="ro-RO"/>
        </w:rPr>
        <w:t xml:space="preserve"> </w:t>
      </w:r>
      <w:r w:rsidR="00BE14FA" w:rsidRPr="00B8105F">
        <w:rPr>
          <w:rFonts w:ascii="Times New Roman" w:hAnsi="Times New Roman" w:cs="Times New Roman"/>
          <w:sz w:val="28"/>
          <w:szCs w:val="28"/>
          <w:lang w:val="ro-RO"/>
        </w:rPr>
        <w:t xml:space="preserve">fiind </w:t>
      </w:r>
      <w:r w:rsidR="00DB2245" w:rsidRPr="00B8105F">
        <w:rPr>
          <w:rFonts w:ascii="Times New Roman" w:hAnsi="Times New Roman" w:cs="Times New Roman"/>
          <w:sz w:val="28"/>
          <w:szCs w:val="28"/>
          <w:lang w:val="ro-RO"/>
        </w:rPr>
        <w:t xml:space="preserve">stabilit prejudiciu </w:t>
      </w:r>
      <w:r w:rsidR="00BE14FA" w:rsidRPr="00B8105F">
        <w:rPr>
          <w:rFonts w:ascii="Times New Roman" w:hAnsi="Times New Roman" w:cs="Times New Roman"/>
          <w:sz w:val="28"/>
          <w:szCs w:val="28"/>
          <w:lang w:val="ro-RO"/>
        </w:rPr>
        <w:t>cauzat</w:t>
      </w:r>
      <w:r w:rsidR="005F0C35" w:rsidRPr="00B8105F">
        <w:rPr>
          <w:rFonts w:ascii="Times New Roman" w:hAnsi="Times New Roman" w:cs="Times New Roman"/>
          <w:sz w:val="28"/>
          <w:szCs w:val="28"/>
          <w:lang w:val="ro-RO"/>
        </w:rPr>
        <w:t xml:space="preserve"> statului</w:t>
      </w:r>
      <w:r w:rsidR="00AF7343" w:rsidRPr="00B8105F">
        <w:rPr>
          <w:rFonts w:ascii="Times New Roman" w:hAnsi="Times New Roman" w:cs="Times New Roman"/>
          <w:sz w:val="28"/>
          <w:szCs w:val="28"/>
          <w:lang w:val="ro-RO"/>
        </w:rPr>
        <w:t xml:space="preserve"> </w:t>
      </w:r>
      <w:r w:rsidR="005F0C35" w:rsidRPr="00B8105F">
        <w:rPr>
          <w:rFonts w:ascii="Times New Roman" w:hAnsi="Times New Roman" w:cs="Times New Roman"/>
          <w:sz w:val="28"/>
          <w:szCs w:val="28"/>
          <w:lang w:val="ro-RO"/>
        </w:rPr>
        <w:t>în mărime de</w:t>
      </w:r>
      <w:r w:rsidR="00AF7343" w:rsidRPr="00B8105F">
        <w:rPr>
          <w:rFonts w:ascii="Times New Roman" w:hAnsi="Times New Roman" w:cs="Times New Roman"/>
          <w:sz w:val="28"/>
          <w:szCs w:val="28"/>
          <w:lang w:val="ro-RO"/>
        </w:rPr>
        <w:t xml:space="preserve"> </w:t>
      </w:r>
      <w:r w:rsidR="008D575D" w:rsidRPr="00B8105F">
        <w:rPr>
          <w:rFonts w:ascii="Times New Roman" w:hAnsi="Times New Roman" w:cs="Times New Roman"/>
          <w:sz w:val="28"/>
          <w:szCs w:val="28"/>
          <w:lang w:val="ro-RO"/>
        </w:rPr>
        <w:t xml:space="preserve">– </w:t>
      </w:r>
      <w:r w:rsidR="0095667F" w:rsidRPr="00B8105F">
        <w:rPr>
          <w:rFonts w:ascii="Times New Roman" w:hAnsi="Times New Roman" w:cs="Times New Roman"/>
          <w:sz w:val="28"/>
          <w:szCs w:val="28"/>
          <w:lang w:val="ro-RO"/>
        </w:rPr>
        <w:t>112,0</w:t>
      </w:r>
      <w:r w:rsidR="008D575D" w:rsidRPr="00B8105F">
        <w:rPr>
          <w:rFonts w:ascii="Times New Roman" w:hAnsi="Times New Roman" w:cs="Times New Roman"/>
          <w:sz w:val="28"/>
          <w:szCs w:val="28"/>
          <w:lang w:val="ro-RO"/>
        </w:rPr>
        <w:t xml:space="preserve"> milioane lei,</w:t>
      </w:r>
      <w:r w:rsidR="00910019" w:rsidRPr="00B8105F">
        <w:rPr>
          <w:rFonts w:ascii="Times New Roman" w:hAnsi="Times New Roman" w:cs="Times New Roman"/>
          <w:sz w:val="28"/>
          <w:szCs w:val="28"/>
          <w:lang w:val="ro-RO"/>
        </w:rPr>
        <w:t xml:space="preserve"> depistate</w:t>
      </w:r>
      <w:r w:rsidR="008D575D" w:rsidRPr="00B8105F">
        <w:rPr>
          <w:rFonts w:ascii="Times New Roman" w:hAnsi="Times New Roman" w:cs="Times New Roman"/>
          <w:sz w:val="28"/>
          <w:szCs w:val="28"/>
          <w:lang w:val="ro-RO"/>
        </w:rPr>
        <w:t xml:space="preserve"> lipsuri – </w:t>
      </w:r>
      <w:r w:rsidR="0095667F" w:rsidRPr="00B8105F">
        <w:rPr>
          <w:rFonts w:ascii="Times New Roman" w:hAnsi="Times New Roman" w:cs="Times New Roman"/>
          <w:sz w:val="28"/>
          <w:szCs w:val="28"/>
          <w:lang w:val="ro-RO"/>
        </w:rPr>
        <w:t>29,4</w:t>
      </w:r>
      <w:r w:rsidRPr="00B8105F">
        <w:rPr>
          <w:rFonts w:ascii="Times New Roman" w:hAnsi="Times New Roman" w:cs="Times New Roman"/>
          <w:sz w:val="28"/>
          <w:szCs w:val="28"/>
          <w:lang w:val="ro-RO"/>
        </w:rPr>
        <w:t xml:space="preserve"> milioane l</w:t>
      </w:r>
      <w:r w:rsidR="00DB2245" w:rsidRPr="00B8105F">
        <w:rPr>
          <w:rFonts w:ascii="Times New Roman" w:hAnsi="Times New Roman" w:cs="Times New Roman"/>
          <w:sz w:val="28"/>
          <w:szCs w:val="28"/>
          <w:lang w:val="ro-RO"/>
        </w:rPr>
        <w:t>ei și</w:t>
      </w:r>
      <w:r w:rsidR="008D575D" w:rsidRPr="00B8105F">
        <w:rPr>
          <w:rFonts w:ascii="Times New Roman" w:hAnsi="Times New Roman" w:cs="Times New Roman"/>
          <w:sz w:val="28"/>
          <w:szCs w:val="28"/>
          <w:lang w:val="ro-RO"/>
        </w:rPr>
        <w:t xml:space="preserve"> cheltuieli nelegitime – </w:t>
      </w:r>
      <w:r w:rsidR="0095667F" w:rsidRPr="00B8105F">
        <w:rPr>
          <w:rFonts w:ascii="Times New Roman" w:hAnsi="Times New Roman" w:cs="Times New Roman"/>
          <w:sz w:val="28"/>
          <w:szCs w:val="28"/>
          <w:lang w:val="ro-RO"/>
        </w:rPr>
        <w:t xml:space="preserve">55,9 </w:t>
      </w:r>
      <w:r w:rsidRPr="00B8105F">
        <w:rPr>
          <w:rFonts w:ascii="Times New Roman" w:hAnsi="Times New Roman" w:cs="Times New Roman"/>
          <w:sz w:val="28"/>
          <w:szCs w:val="28"/>
          <w:lang w:val="ro-RO"/>
        </w:rPr>
        <w:t xml:space="preserve"> milioane lei</w:t>
      </w:r>
      <w:r w:rsidR="00BE14FA" w:rsidRPr="00B8105F">
        <w:rPr>
          <w:rFonts w:ascii="Times New Roman" w:hAnsi="Times New Roman" w:cs="Times New Roman"/>
          <w:sz w:val="28"/>
          <w:szCs w:val="28"/>
          <w:lang w:val="ro-RO"/>
        </w:rPr>
        <w:t>.</w:t>
      </w:r>
      <w:r w:rsidR="00910019" w:rsidRPr="00B8105F">
        <w:rPr>
          <w:rFonts w:ascii="Times New Roman" w:hAnsi="Times New Roman" w:cs="Times New Roman"/>
          <w:sz w:val="28"/>
          <w:szCs w:val="28"/>
          <w:lang w:val="ro-RO"/>
        </w:rPr>
        <w:t xml:space="preserve"> </w:t>
      </w:r>
      <w:r w:rsidR="00DF1E25">
        <w:rPr>
          <w:rFonts w:ascii="Times New Roman" w:hAnsi="Times New Roman" w:cs="Times New Roman"/>
          <w:sz w:val="28"/>
          <w:szCs w:val="28"/>
          <w:lang w:val="ro-RO"/>
        </w:rPr>
        <w:t xml:space="preserve">                                             </w:t>
      </w:r>
      <w:r w:rsidR="00FA6FFF">
        <w:rPr>
          <w:rFonts w:ascii="Times New Roman" w:hAnsi="Times New Roman" w:cs="Times New Roman"/>
          <w:sz w:val="28"/>
          <w:szCs w:val="28"/>
          <w:lang w:val="ro-RO"/>
        </w:rPr>
        <w:t xml:space="preserve">   </w:t>
      </w:r>
    </w:p>
    <w:p w:rsidR="00D6267F" w:rsidRPr="00B8105F" w:rsidRDefault="00B81ACE" w:rsidP="00FA6FFF">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Venitul ratat constatat în cadrul inspectăril</w:t>
      </w:r>
      <w:r w:rsidR="00AF40E7" w:rsidRPr="00B8105F">
        <w:rPr>
          <w:rFonts w:ascii="Times New Roman" w:hAnsi="Times New Roman" w:cs="Times New Roman"/>
          <w:sz w:val="28"/>
          <w:szCs w:val="28"/>
          <w:lang w:val="ro-RO"/>
        </w:rPr>
        <w:t xml:space="preserve">or efectuate </w:t>
      </w:r>
      <w:r w:rsidR="00DB2245" w:rsidRPr="00B8105F">
        <w:rPr>
          <w:rFonts w:ascii="Times New Roman" w:hAnsi="Times New Roman" w:cs="Times New Roman"/>
          <w:sz w:val="28"/>
          <w:szCs w:val="28"/>
          <w:lang w:val="ro-RO"/>
        </w:rPr>
        <w:t>se estimează</w:t>
      </w:r>
      <w:r w:rsidR="00AF40E7" w:rsidRPr="00B8105F">
        <w:rPr>
          <w:rFonts w:ascii="Times New Roman" w:hAnsi="Times New Roman" w:cs="Times New Roman"/>
          <w:sz w:val="28"/>
          <w:szCs w:val="28"/>
          <w:lang w:val="ro-RO"/>
        </w:rPr>
        <w:t xml:space="preserve"> </w:t>
      </w:r>
      <w:r w:rsidR="00DB2245" w:rsidRPr="00B8105F">
        <w:rPr>
          <w:rFonts w:ascii="Times New Roman" w:hAnsi="Times New Roman" w:cs="Times New Roman"/>
          <w:sz w:val="28"/>
          <w:szCs w:val="28"/>
          <w:lang w:val="ro-RO"/>
        </w:rPr>
        <w:t xml:space="preserve">la </w:t>
      </w:r>
      <w:r w:rsidR="00BE14FA" w:rsidRPr="00B8105F">
        <w:rPr>
          <w:rFonts w:ascii="Times New Roman" w:hAnsi="Times New Roman" w:cs="Times New Roman"/>
          <w:sz w:val="28"/>
          <w:szCs w:val="28"/>
          <w:lang w:val="ro-RO"/>
        </w:rPr>
        <w:t>160,6</w:t>
      </w:r>
      <w:r w:rsidRPr="00B8105F">
        <w:rPr>
          <w:rFonts w:ascii="Times New Roman" w:hAnsi="Times New Roman" w:cs="Times New Roman"/>
          <w:sz w:val="28"/>
          <w:szCs w:val="28"/>
          <w:lang w:val="ro-RO"/>
        </w:rPr>
        <w:t xml:space="preserve"> milioane lei</w:t>
      </w:r>
      <w:r w:rsidR="005F0C35" w:rsidRPr="00B8105F">
        <w:rPr>
          <w:rFonts w:ascii="Times New Roman" w:hAnsi="Times New Roman" w:cs="Times New Roman"/>
          <w:sz w:val="28"/>
          <w:szCs w:val="28"/>
          <w:lang w:val="ro-RO"/>
        </w:rPr>
        <w:t>.</w:t>
      </w:r>
      <w:r w:rsidR="00AF40E7" w:rsidRPr="00B8105F">
        <w:rPr>
          <w:rFonts w:ascii="Times New Roman" w:hAnsi="Times New Roman" w:cs="Times New Roman"/>
          <w:sz w:val="28"/>
          <w:szCs w:val="28"/>
          <w:lang w:val="ro-RO"/>
        </w:rPr>
        <w:t xml:space="preserve"> </w:t>
      </w:r>
    </w:p>
    <w:p w:rsidR="00EB0141" w:rsidRPr="00B8105F" w:rsidRDefault="00EB0141" w:rsidP="00EB0141">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Au fost </w:t>
      </w:r>
      <w:r w:rsidR="00B74578">
        <w:rPr>
          <w:rFonts w:ascii="Times New Roman" w:hAnsi="Times New Roman" w:cs="Times New Roman"/>
          <w:sz w:val="28"/>
          <w:szCs w:val="28"/>
          <w:lang w:val="ro-RO"/>
        </w:rPr>
        <w:t>stabilite</w:t>
      </w:r>
      <w:r w:rsidR="00910019" w:rsidRPr="00B8105F">
        <w:rPr>
          <w:rFonts w:ascii="Times New Roman" w:hAnsi="Times New Roman" w:cs="Times New Roman"/>
          <w:sz w:val="28"/>
          <w:szCs w:val="28"/>
          <w:lang w:val="ro-RO"/>
        </w:rPr>
        <w:t xml:space="preserve"> de asemenea</w:t>
      </w:r>
      <w:r w:rsidRPr="00B8105F">
        <w:rPr>
          <w:rFonts w:ascii="Times New Roman" w:hAnsi="Times New Roman" w:cs="Times New Roman"/>
          <w:sz w:val="28"/>
          <w:szCs w:val="28"/>
          <w:lang w:val="ro-RO"/>
        </w:rPr>
        <w:t xml:space="preserve"> cheltuieli nerecuperate </w:t>
      </w:r>
      <w:r w:rsidR="006B3680" w:rsidRPr="00B8105F">
        <w:rPr>
          <w:rFonts w:ascii="Times New Roman" w:hAnsi="Times New Roman" w:cs="Times New Roman"/>
          <w:sz w:val="28"/>
          <w:szCs w:val="28"/>
          <w:lang w:val="ro-RO"/>
        </w:rPr>
        <w:t xml:space="preserve">în sumă de </w:t>
      </w:r>
      <w:r w:rsidR="00910019" w:rsidRPr="00B8105F">
        <w:rPr>
          <w:rFonts w:ascii="Times New Roman" w:hAnsi="Times New Roman" w:cs="Times New Roman"/>
          <w:sz w:val="28"/>
          <w:szCs w:val="28"/>
          <w:lang w:val="ro-RO"/>
        </w:rPr>
        <w:t>16,5 milioane lei și</w:t>
      </w:r>
      <w:r w:rsidRPr="00B8105F">
        <w:rPr>
          <w:rFonts w:ascii="Times New Roman" w:hAnsi="Times New Roman" w:cs="Times New Roman"/>
          <w:sz w:val="28"/>
          <w:szCs w:val="28"/>
          <w:lang w:val="ro-RO"/>
        </w:rPr>
        <w:t xml:space="preserve"> cheltuieli neregulamentare </w:t>
      </w:r>
      <w:r w:rsidR="00910019" w:rsidRPr="00B8105F">
        <w:rPr>
          <w:rFonts w:ascii="Times New Roman" w:hAnsi="Times New Roman" w:cs="Times New Roman"/>
          <w:sz w:val="28"/>
          <w:szCs w:val="28"/>
          <w:lang w:val="ro-RO"/>
        </w:rPr>
        <w:t>în sumă de</w:t>
      </w:r>
      <w:r w:rsidR="006B3680" w:rsidRPr="00B8105F">
        <w:rPr>
          <w:rFonts w:ascii="Times New Roman" w:hAnsi="Times New Roman" w:cs="Times New Roman"/>
          <w:sz w:val="28"/>
          <w:szCs w:val="28"/>
          <w:lang w:val="ro-RO"/>
        </w:rPr>
        <w:t xml:space="preserve"> </w:t>
      </w:r>
      <w:r w:rsidRPr="00B8105F">
        <w:rPr>
          <w:rFonts w:ascii="Times New Roman" w:hAnsi="Times New Roman" w:cs="Times New Roman"/>
          <w:sz w:val="28"/>
          <w:szCs w:val="28"/>
          <w:lang w:val="ro-RO"/>
        </w:rPr>
        <w:t>271,7 milioane lei.</w:t>
      </w:r>
    </w:p>
    <w:p w:rsidR="00FA6FFF" w:rsidRDefault="00B81ACE" w:rsidP="00B81ACE">
      <w:pPr>
        <w:spacing w:after="0" w:line="360" w:lineRule="auto"/>
        <w:ind w:firstLine="567"/>
        <w:jc w:val="both"/>
        <w:rPr>
          <w:rFonts w:ascii="Times New Roman" w:hAnsi="Times New Roman" w:cs="Times New Roman"/>
          <w:noProof/>
          <w:sz w:val="28"/>
          <w:szCs w:val="28"/>
          <w:lang w:val="ro-RO"/>
        </w:rPr>
      </w:pPr>
      <w:r w:rsidRPr="00B8105F">
        <w:rPr>
          <w:rFonts w:ascii="Times New Roman" w:hAnsi="Times New Roman" w:cs="Times New Roman"/>
          <w:sz w:val="28"/>
          <w:szCs w:val="28"/>
          <w:lang w:val="ro-RO"/>
        </w:rPr>
        <w:t xml:space="preserve">La entităţile private, în rezultatul inspectărilor efectuate la solicitarea organelor de drept, în baza ordonanţelor emise în cadrul desfăşurării urmăririi penale, au fost depistate încălcări estimate în sume băneşti în mărime de </w:t>
      </w:r>
      <w:r w:rsidR="00AF40E7" w:rsidRPr="00B8105F">
        <w:rPr>
          <w:rFonts w:ascii="Times New Roman" w:hAnsi="Times New Roman" w:cs="Times New Roman"/>
          <w:sz w:val="28"/>
          <w:szCs w:val="28"/>
          <w:lang w:val="ro-RO"/>
        </w:rPr>
        <w:t>1</w:t>
      </w:r>
      <w:r w:rsidR="00AD3524" w:rsidRPr="00B8105F">
        <w:rPr>
          <w:rFonts w:ascii="Times New Roman" w:hAnsi="Times New Roman" w:cs="Times New Roman"/>
          <w:sz w:val="28"/>
          <w:szCs w:val="28"/>
          <w:lang w:val="ro-RO"/>
        </w:rPr>
        <w:t>89,2</w:t>
      </w:r>
      <w:r w:rsidR="00AF40E7" w:rsidRPr="00B8105F">
        <w:rPr>
          <w:rFonts w:ascii="Times New Roman" w:hAnsi="Times New Roman" w:cs="Times New Roman"/>
          <w:sz w:val="28"/>
          <w:szCs w:val="28"/>
          <w:lang w:val="ro-RO"/>
        </w:rPr>
        <w:t xml:space="preserve"> </w:t>
      </w:r>
      <w:r w:rsidRPr="00B8105F">
        <w:rPr>
          <w:rFonts w:ascii="Times New Roman" w:hAnsi="Times New Roman" w:cs="Times New Roman"/>
          <w:sz w:val="28"/>
          <w:szCs w:val="28"/>
          <w:lang w:val="ro-RO"/>
        </w:rPr>
        <w:t>milioane lei.</w:t>
      </w:r>
      <w:r w:rsidR="0076336D" w:rsidRPr="0076336D">
        <w:rPr>
          <w:rFonts w:ascii="Times New Roman" w:hAnsi="Times New Roman" w:cs="Times New Roman"/>
          <w:noProof/>
          <w:sz w:val="28"/>
          <w:szCs w:val="28"/>
          <w:lang w:val="ro-RO"/>
        </w:rPr>
        <w:t xml:space="preserve"> </w:t>
      </w:r>
    </w:p>
    <w:p w:rsidR="00FA6FFF" w:rsidRDefault="00FA6FFF" w:rsidP="00B81ACE">
      <w:pPr>
        <w:spacing w:after="0" w:line="360" w:lineRule="auto"/>
        <w:ind w:firstLine="567"/>
        <w:jc w:val="both"/>
        <w:rPr>
          <w:rFonts w:ascii="Times New Roman" w:hAnsi="Times New Roman" w:cs="Times New Roman"/>
          <w:noProof/>
          <w:sz w:val="28"/>
          <w:szCs w:val="28"/>
          <w:lang w:val="ro-RO"/>
        </w:rPr>
      </w:pPr>
    </w:p>
    <w:p w:rsidR="00B81ACE" w:rsidRPr="00B8105F" w:rsidRDefault="0076336D" w:rsidP="00B81ACE">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drawing>
          <wp:inline distT="0" distB="0" distL="0" distR="0">
            <wp:extent cx="5944429" cy="3204376"/>
            <wp:effectExtent l="19050" t="0" r="18221"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A6FFF" w:rsidRDefault="00FA6FFF" w:rsidP="00440ED3">
      <w:pPr>
        <w:spacing w:after="0" w:line="360" w:lineRule="auto"/>
        <w:ind w:firstLine="567"/>
        <w:jc w:val="both"/>
        <w:rPr>
          <w:rFonts w:ascii="Times New Roman" w:hAnsi="Times New Roman" w:cs="Times New Roman"/>
          <w:sz w:val="28"/>
          <w:szCs w:val="28"/>
          <w:lang w:val="ro-RO"/>
        </w:rPr>
      </w:pPr>
    </w:p>
    <w:p w:rsidR="00B81ACE" w:rsidRPr="00B8105F" w:rsidRDefault="00B81ACE" w:rsidP="00440ED3">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Au fost calculate</w:t>
      </w:r>
      <w:r w:rsidR="00AF40E7" w:rsidRPr="00B8105F">
        <w:rPr>
          <w:rFonts w:ascii="Times New Roman" w:hAnsi="Times New Roman" w:cs="Times New Roman"/>
          <w:sz w:val="28"/>
          <w:szCs w:val="28"/>
          <w:lang w:val="ro-RO"/>
        </w:rPr>
        <w:t xml:space="preserve"> suplimentar </w:t>
      </w:r>
      <w:r w:rsidR="004455D4" w:rsidRPr="00B8105F">
        <w:rPr>
          <w:rFonts w:ascii="Times New Roman" w:hAnsi="Times New Roman" w:cs="Times New Roman"/>
          <w:sz w:val="28"/>
          <w:szCs w:val="28"/>
          <w:lang w:val="ro-RO"/>
        </w:rPr>
        <w:t>l</w:t>
      </w:r>
      <w:r w:rsidR="00AF40E7" w:rsidRPr="00B8105F">
        <w:rPr>
          <w:rFonts w:ascii="Times New Roman" w:hAnsi="Times New Roman" w:cs="Times New Roman"/>
          <w:sz w:val="28"/>
          <w:szCs w:val="28"/>
          <w:lang w:val="ro-RO"/>
        </w:rPr>
        <w:t xml:space="preserve">a buget </w:t>
      </w:r>
      <w:r w:rsidR="00EC0176" w:rsidRPr="00B8105F">
        <w:rPr>
          <w:rFonts w:ascii="Times New Roman" w:hAnsi="Times New Roman" w:cs="Times New Roman"/>
          <w:sz w:val="28"/>
          <w:szCs w:val="28"/>
          <w:lang w:val="ro-RO"/>
        </w:rPr>
        <w:t>3,5</w:t>
      </w:r>
      <w:r w:rsidRPr="00B8105F">
        <w:rPr>
          <w:rFonts w:ascii="Times New Roman" w:hAnsi="Times New Roman" w:cs="Times New Roman"/>
          <w:sz w:val="28"/>
          <w:szCs w:val="28"/>
          <w:lang w:val="ro-RO"/>
        </w:rPr>
        <w:t xml:space="preserve"> milioane lei, inclusiv </w:t>
      </w:r>
      <w:r w:rsidR="004455D4" w:rsidRPr="00B8105F">
        <w:rPr>
          <w:rFonts w:ascii="Times New Roman" w:hAnsi="Times New Roman" w:cs="Times New Roman"/>
          <w:sz w:val="28"/>
          <w:szCs w:val="28"/>
          <w:lang w:val="ro-RO"/>
        </w:rPr>
        <w:t xml:space="preserve">aplicate </w:t>
      </w:r>
      <w:r w:rsidRPr="00B8105F">
        <w:rPr>
          <w:rFonts w:ascii="Times New Roman" w:hAnsi="Times New Roman" w:cs="Times New Roman"/>
          <w:sz w:val="28"/>
          <w:szCs w:val="28"/>
          <w:lang w:val="ro-RO"/>
        </w:rPr>
        <w:t>sa</w:t>
      </w:r>
      <w:r w:rsidR="00780460" w:rsidRPr="00B8105F">
        <w:rPr>
          <w:rFonts w:ascii="Times New Roman" w:hAnsi="Times New Roman" w:cs="Times New Roman"/>
          <w:sz w:val="28"/>
          <w:szCs w:val="28"/>
          <w:lang w:val="ro-RO"/>
        </w:rPr>
        <w:t xml:space="preserve">ncţiuni economice – </w:t>
      </w:r>
      <w:r w:rsidR="00EC0176" w:rsidRPr="00B8105F">
        <w:rPr>
          <w:rFonts w:ascii="Times New Roman" w:hAnsi="Times New Roman" w:cs="Times New Roman"/>
          <w:sz w:val="28"/>
          <w:szCs w:val="28"/>
          <w:lang w:val="ro-RO"/>
        </w:rPr>
        <w:t>1,3</w:t>
      </w:r>
      <w:r w:rsidRPr="00B8105F">
        <w:rPr>
          <w:rFonts w:ascii="Times New Roman" w:hAnsi="Times New Roman" w:cs="Times New Roman"/>
          <w:sz w:val="28"/>
          <w:szCs w:val="28"/>
          <w:lang w:val="ro-RO"/>
        </w:rPr>
        <w:t xml:space="preserve"> milioane </w:t>
      </w:r>
      <w:r w:rsidR="00780460" w:rsidRPr="00B8105F">
        <w:rPr>
          <w:rFonts w:ascii="Times New Roman" w:hAnsi="Times New Roman" w:cs="Times New Roman"/>
          <w:sz w:val="28"/>
          <w:szCs w:val="28"/>
          <w:lang w:val="ro-RO"/>
        </w:rPr>
        <w:t xml:space="preserve">lei, alte </w:t>
      </w:r>
      <w:r w:rsidR="004455D4" w:rsidRPr="00B8105F">
        <w:rPr>
          <w:rFonts w:ascii="Times New Roman" w:hAnsi="Times New Roman" w:cs="Times New Roman"/>
          <w:sz w:val="28"/>
          <w:szCs w:val="28"/>
          <w:lang w:val="ro-RO"/>
        </w:rPr>
        <w:t>plăți</w:t>
      </w:r>
      <w:r w:rsidR="00780460" w:rsidRPr="00B8105F">
        <w:rPr>
          <w:rFonts w:ascii="Times New Roman" w:hAnsi="Times New Roman" w:cs="Times New Roman"/>
          <w:sz w:val="28"/>
          <w:szCs w:val="28"/>
          <w:lang w:val="ro-RO"/>
        </w:rPr>
        <w:t xml:space="preserve"> – 1,</w:t>
      </w:r>
      <w:r w:rsidR="00EC0176" w:rsidRPr="00B8105F">
        <w:rPr>
          <w:rFonts w:ascii="Times New Roman" w:hAnsi="Times New Roman" w:cs="Times New Roman"/>
          <w:sz w:val="28"/>
          <w:szCs w:val="28"/>
          <w:lang w:val="ro-RO"/>
        </w:rPr>
        <w:t>7</w:t>
      </w:r>
      <w:r w:rsidRPr="00B8105F">
        <w:rPr>
          <w:rFonts w:ascii="Times New Roman" w:hAnsi="Times New Roman" w:cs="Times New Roman"/>
          <w:sz w:val="28"/>
          <w:szCs w:val="28"/>
          <w:lang w:val="ro-RO"/>
        </w:rPr>
        <w:t xml:space="preserve"> milioan</w:t>
      </w:r>
      <w:r w:rsidR="00780460" w:rsidRPr="00B8105F">
        <w:rPr>
          <w:rFonts w:ascii="Times New Roman" w:hAnsi="Times New Roman" w:cs="Times New Roman"/>
          <w:sz w:val="28"/>
          <w:szCs w:val="28"/>
          <w:lang w:val="ro-RO"/>
        </w:rPr>
        <w:t xml:space="preserve">e lei, </w:t>
      </w:r>
      <w:r w:rsidR="000E2E15" w:rsidRPr="00B8105F">
        <w:rPr>
          <w:rFonts w:ascii="Times New Roman" w:hAnsi="Times New Roman" w:cs="Times New Roman"/>
          <w:sz w:val="28"/>
          <w:szCs w:val="28"/>
          <w:lang w:val="ro-RO"/>
        </w:rPr>
        <w:t xml:space="preserve">calculate </w:t>
      </w:r>
      <w:r w:rsidR="00780460" w:rsidRPr="00B8105F">
        <w:rPr>
          <w:rFonts w:ascii="Times New Roman" w:hAnsi="Times New Roman" w:cs="Times New Roman"/>
          <w:sz w:val="28"/>
          <w:szCs w:val="28"/>
          <w:lang w:val="ro-RO"/>
        </w:rPr>
        <w:t>dividende/defalcări – 0,</w:t>
      </w:r>
      <w:r w:rsidR="00EC0176" w:rsidRPr="00B8105F">
        <w:rPr>
          <w:rFonts w:ascii="Times New Roman" w:hAnsi="Times New Roman" w:cs="Times New Roman"/>
          <w:sz w:val="28"/>
          <w:szCs w:val="28"/>
          <w:lang w:val="ro-RO"/>
        </w:rPr>
        <w:t>5</w:t>
      </w:r>
      <w:r w:rsidRPr="00B8105F">
        <w:rPr>
          <w:rFonts w:ascii="Times New Roman" w:hAnsi="Times New Roman" w:cs="Times New Roman"/>
          <w:sz w:val="28"/>
          <w:szCs w:val="28"/>
          <w:lang w:val="ro-RO"/>
        </w:rPr>
        <w:t xml:space="preserve"> milioane lei. </w:t>
      </w:r>
    </w:p>
    <w:p w:rsidR="00EC0176" w:rsidRPr="00B8105F" w:rsidRDefault="00C025B6" w:rsidP="00440ED3">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lastRenderedPageBreak/>
        <w:t>În rezultatul acţiunilor întreprinse,</w:t>
      </w:r>
      <w:r w:rsidRPr="00B8105F">
        <w:rPr>
          <w:rFonts w:ascii="Times New Roman" w:hAnsi="Times New Roman" w:cs="Times New Roman"/>
          <w:color w:val="000000"/>
          <w:sz w:val="28"/>
          <w:szCs w:val="28"/>
          <w:lang w:val="ro-RO"/>
        </w:rPr>
        <w:t xml:space="preserve"> </w:t>
      </w:r>
      <w:r w:rsidRPr="00B8105F">
        <w:rPr>
          <w:rFonts w:ascii="Times New Roman" w:hAnsi="Times New Roman" w:cs="Times New Roman"/>
          <w:sz w:val="28"/>
          <w:szCs w:val="28"/>
          <w:lang w:val="ro-RO"/>
        </w:rPr>
        <w:t>inclusiv</w:t>
      </w:r>
      <w:r w:rsidRPr="00B8105F">
        <w:rPr>
          <w:rFonts w:ascii="Times New Roman" w:hAnsi="Times New Roman" w:cs="Times New Roman"/>
          <w:color w:val="000000"/>
          <w:sz w:val="28"/>
          <w:szCs w:val="28"/>
          <w:lang w:val="ro-RO"/>
        </w:rPr>
        <w:t xml:space="preserve"> î</w:t>
      </w:r>
      <w:r w:rsidR="0097308C" w:rsidRPr="00B8105F">
        <w:rPr>
          <w:rFonts w:ascii="Times New Roman" w:hAnsi="Times New Roman" w:cs="Times New Roman"/>
          <w:color w:val="000000"/>
          <w:sz w:val="28"/>
          <w:szCs w:val="28"/>
          <w:lang w:val="ro-RO"/>
        </w:rPr>
        <w:t>n cadrul efectuării inspect</w:t>
      </w:r>
      <w:r w:rsidR="002F5B2F" w:rsidRPr="00B8105F">
        <w:rPr>
          <w:rFonts w:ascii="Times New Roman" w:hAnsi="Times New Roman" w:cs="Times New Roman"/>
          <w:color w:val="000000"/>
          <w:sz w:val="28"/>
          <w:szCs w:val="28"/>
          <w:lang w:val="ro-RO"/>
        </w:rPr>
        <w:t>ărilor, la entităţile publice</w:t>
      </w:r>
      <w:r w:rsidR="003E7F20" w:rsidRPr="00B8105F">
        <w:rPr>
          <w:rFonts w:ascii="Times New Roman" w:hAnsi="Times New Roman" w:cs="Times New Roman"/>
          <w:color w:val="000000"/>
          <w:sz w:val="28"/>
          <w:szCs w:val="28"/>
          <w:lang w:val="ro-RO"/>
        </w:rPr>
        <w:t xml:space="preserve"> câ</w:t>
      </w:r>
      <w:r w:rsidRPr="00B8105F">
        <w:rPr>
          <w:rFonts w:ascii="Times New Roman" w:hAnsi="Times New Roman" w:cs="Times New Roman"/>
          <w:color w:val="000000"/>
          <w:sz w:val="28"/>
          <w:szCs w:val="28"/>
          <w:lang w:val="ro-RO"/>
        </w:rPr>
        <w:t xml:space="preserve">t şi entităţile în care statul este fondator sau deţine cota-parte </w:t>
      </w:r>
      <w:r w:rsidR="002F5B2F" w:rsidRPr="00B8105F">
        <w:rPr>
          <w:rFonts w:ascii="Times New Roman" w:hAnsi="Times New Roman" w:cs="Times New Roman"/>
          <w:color w:val="000000"/>
          <w:sz w:val="28"/>
          <w:szCs w:val="28"/>
          <w:lang w:val="ro-RO"/>
        </w:rPr>
        <w:t xml:space="preserve"> a</w:t>
      </w:r>
      <w:r w:rsidR="0097308C" w:rsidRPr="00B8105F">
        <w:rPr>
          <w:rFonts w:ascii="Times New Roman" w:hAnsi="Times New Roman" w:cs="Times New Roman"/>
          <w:color w:val="000000"/>
          <w:sz w:val="28"/>
          <w:szCs w:val="28"/>
          <w:lang w:val="ro-RO"/>
        </w:rPr>
        <w:t xml:space="preserve"> fost </w:t>
      </w:r>
      <w:r w:rsidR="002F5B2F" w:rsidRPr="00B8105F">
        <w:rPr>
          <w:rFonts w:ascii="Times New Roman" w:hAnsi="Times New Roman" w:cs="Times New Roman"/>
          <w:color w:val="000000"/>
          <w:sz w:val="28"/>
          <w:szCs w:val="28"/>
          <w:lang w:val="ro-RO"/>
        </w:rPr>
        <w:t>asigurată restituirea a</w:t>
      </w:r>
      <w:r w:rsidR="0097308C" w:rsidRPr="00B8105F">
        <w:rPr>
          <w:rFonts w:ascii="Times New Roman" w:hAnsi="Times New Roman" w:cs="Times New Roman"/>
          <w:color w:val="000000"/>
          <w:sz w:val="28"/>
          <w:szCs w:val="28"/>
          <w:lang w:val="ro-RO"/>
        </w:rPr>
        <w:t xml:space="preserve"> </w:t>
      </w:r>
      <w:r w:rsidRPr="00B8105F">
        <w:rPr>
          <w:rFonts w:ascii="Times New Roman" w:hAnsi="Times New Roman" w:cs="Times New Roman"/>
          <w:color w:val="000000"/>
          <w:sz w:val="28"/>
          <w:szCs w:val="28"/>
          <w:lang w:val="ro-RO"/>
        </w:rPr>
        <w:t>25</w:t>
      </w:r>
      <w:r w:rsidR="0097308C" w:rsidRPr="00B8105F">
        <w:rPr>
          <w:rFonts w:ascii="Times New Roman" w:hAnsi="Times New Roman" w:cs="Times New Roman"/>
          <w:color w:val="000000"/>
          <w:sz w:val="28"/>
          <w:szCs w:val="28"/>
          <w:lang w:val="ro-RO"/>
        </w:rPr>
        <w:t>,</w:t>
      </w:r>
      <w:r w:rsidRPr="00B8105F">
        <w:rPr>
          <w:rFonts w:ascii="Times New Roman" w:hAnsi="Times New Roman" w:cs="Times New Roman"/>
          <w:color w:val="000000"/>
          <w:sz w:val="28"/>
          <w:szCs w:val="28"/>
          <w:lang w:val="ro-RO"/>
        </w:rPr>
        <w:t>0</w:t>
      </w:r>
      <w:r w:rsidR="0097308C" w:rsidRPr="00B8105F">
        <w:rPr>
          <w:rFonts w:ascii="Times New Roman" w:hAnsi="Times New Roman" w:cs="Times New Roman"/>
          <w:sz w:val="28"/>
          <w:szCs w:val="28"/>
          <w:lang w:val="ro-RO"/>
        </w:rPr>
        <w:t xml:space="preserve"> milioane lei, </w:t>
      </w:r>
      <w:r w:rsidR="002F5B2F" w:rsidRPr="00B8105F">
        <w:rPr>
          <w:rFonts w:ascii="Times New Roman" w:hAnsi="Times New Roman" w:cs="Times New Roman"/>
          <w:sz w:val="28"/>
          <w:szCs w:val="28"/>
          <w:lang w:val="ro-RO"/>
        </w:rPr>
        <w:t xml:space="preserve">inclusiv din prejudiciu </w:t>
      </w:r>
      <w:r w:rsidR="0097308C" w:rsidRPr="00B8105F">
        <w:rPr>
          <w:rFonts w:ascii="Times New Roman" w:hAnsi="Times New Roman" w:cs="Times New Roman"/>
          <w:sz w:val="28"/>
          <w:szCs w:val="28"/>
          <w:lang w:val="ro-RO"/>
        </w:rPr>
        <w:t>cauzat – 11,</w:t>
      </w:r>
      <w:r w:rsidRPr="00B8105F">
        <w:rPr>
          <w:rFonts w:ascii="Times New Roman" w:hAnsi="Times New Roman" w:cs="Times New Roman"/>
          <w:sz w:val="28"/>
          <w:szCs w:val="28"/>
          <w:lang w:val="ro-RO"/>
        </w:rPr>
        <w:t>2</w:t>
      </w:r>
      <w:r w:rsidR="0097308C" w:rsidRPr="00B8105F">
        <w:rPr>
          <w:rFonts w:ascii="Times New Roman" w:hAnsi="Times New Roman" w:cs="Times New Roman"/>
          <w:sz w:val="28"/>
          <w:szCs w:val="28"/>
          <w:lang w:val="ro-RO"/>
        </w:rPr>
        <w:t xml:space="preserve"> milioane lei, lipsuri – 0,</w:t>
      </w:r>
      <w:r w:rsidRPr="00B8105F">
        <w:rPr>
          <w:rFonts w:ascii="Times New Roman" w:hAnsi="Times New Roman" w:cs="Times New Roman"/>
          <w:sz w:val="28"/>
          <w:szCs w:val="28"/>
          <w:lang w:val="ro-RO"/>
        </w:rPr>
        <w:t>7</w:t>
      </w:r>
      <w:r w:rsidR="0097308C" w:rsidRPr="00B8105F">
        <w:rPr>
          <w:rFonts w:ascii="Times New Roman" w:hAnsi="Times New Roman" w:cs="Times New Roman"/>
          <w:sz w:val="28"/>
          <w:szCs w:val="28"/>
          <w:lang w:val="ro-RO"/>
        </w:rPr>
        <w:t xml:space="preserve"> milioane lei,</w:t>
      </w:r>
      <w:r w:rsidR="002F5B2F" w:rsidRPr="00B8105F">
        <w:rPr>
          <w:rFonts w:ascii="Times New Roman" w:hAnsi="Times New Roman" w:cs="Times New Roman"/>
          <w:sz w:val="28"/>
          <w:szCs w:val="28"/>
          <w:lang w:val="ro-RO"/>
        </w:rPr>
        <w:t xml:space="preserve"> </w:t>
      </w:r>
      <w:r w:rsidR="0097308C" w:rsidRPr="00B8105F">
        <w:rPr>
          <w:rFonts w:ascii="Times New Roman" w:hAnsi="Times New Roman" w:cs="Times New Roman"/>
          <w:sz w:val="28"/>
          <w:szCs w:val="28"/>
          <w:lang w:val="ro-RO"/>
        </w:rPr>
        <w:t xml:space="preserve">cheltuieli nelegitime – </w:t>
      </w:r>
      <w:r w:rsidRPr="00B8105F">
        <w:rPr>
          <w:rFonts w:ascii="Times New Roman" w:hAnsi="Times New Roman" w:cs="Times New Roman"/>
          <w:sz w:val="28"/>
          <w:szCs w:val="28"/>
          <w:lang w:val="ro-RO"/>
        </w:rPr>
        <w:t>7,4</w:t>
      </w:r>
      <w:r w:rsidR="0097308C" w:rsidRPr="00B8105F">
        <w:rPr>
          <w:rFonts w:ascii="Times New Roman" w:hAnsi="Times New Roman" w:cs="Times New Roman"/>
          <w:sz w:val="28"/>
          <w:szCs w:val="28"/>
          <w:lang w:val="ro-RO"/>
        </w:rPr>
        <w:t xml:space="preserve"> milioane lei, conform material</w:t>
      </w:r>
      <w:r w:rsidR="00DE3397" w:rsidRPr="00B8105F">
        <w:rPr>
          <w:rFonts w:ascii="Times New Roman" w:hAnsi="Times New Roman" w:cs="Times New Roman"/>
          <w:sz w:val="28"/>
          <w:szCs w:val="28"/>
          <w:lang w:val="ro-RO"/>
        </w:rPr>
        <w:t xml:space="preserve">elor de inspectări financiare efectuate în anii precedenţi – </w:t>
      </w:r>
      <w:r w:rsidRPr="00B8105F">
        <w:rPr>
          <w:rFonts w:ascii="Times New Roman" w:hAnsi="Times New Roman" w:cs="Times New Roman"/>
          <w:sz w:val="28"/>
          <w:szCs w:val="28"/>
          <w:lang w:val="ro-RO"/>
        </w:rPr>
        <w:t>5,7</w:t>
      </w:r>
      <w:r w:rsidR="00DE3397" w:rsidRPr="00B8105F">
        <w:rPr>
          <w:rFonts w:ascii="Times New Roman" w:hAnsi="Times New Roman" w:cs="Times New Roman"/>
          <w:sz w:val="28"/>
          <w:szCs w:val="28"/>
          <w:lang w:val="ro-RO"/>
        </w:rPr>
        <w:t xml:space="preserve"> milioane lei.</w:t>
      </w:r>
    </w:p>
    <w:p w:rsidR="000918B8" w:rsidRDefault="005D26C2" w:rsidP="00B81ACE">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Concomitent </w:t>
      </w:r>
      <w:r w:rsidR="00E1422F" w:rsidRPr="00B8105F">
        <w:rPr>
          <w:rFonts w:ascii="Times New Roman" w:hAnsi="Times New Roman" w:cs="Times New Roman"/>
          <w:sz w:val="28"/>
          <w:szCs w:val="28"/>
          <w:lang w:val="ro-RO"/>
        </w:rPr>
        <w:t>în cadrul inspectărilor financiare s-a asigurat încasarea unui</w:t>
      </w:r>
      <w:r w:rsidRPr="00B8105F">
        <w:rPr>
          <w:rFonts w:ascii="Times New Roman" w:hAnsi="Times New Roman" w:cs="Times New Roman"/>
          <w:sz w:val="28"/>
          <w:szCs w:val="28"/>
          <w:lang w:val="ro-RO"/>
        </w:rPr>
        <w:t xml:space="preserve"> </w:t>
      </w:r>
      <w:r w:rsidR="00440ED3" w:rsidRPr="00B8105F">
        <w:rPr>
          <w:rFonts w:ascii="Times New Roman" w:hAnsi="Times New Roman" w:cs="Times New Roman"/>
          <w:sz w:val="28"/>
          <w:szCs w:val="28"/>
          <w:lang w:val="ro-RO"/>
        </w:rPr>
        <w:t>venit ratat care a constituit</w:t>
      </w:r>
      <w:r w:rsidR="000918B8" w:rsidRPr="00B8105F">
        <w:rPr>
          <w:rFonts w:ascii="Times New Roman" w:hAnsi="Times New Roman" w:cs="Times New Roman"/>
          <w:sz w:val="28"/>
          <w:szCs w:val="28"/>
          <w:lang w:val="ro-RO"/>
        </w:rPr>
        <w:t xml:space="preserve">– </w:t>
      </w:r>
      <w:r w:rsidR="004254C1" w:rsidRPr="00B8105F">
        <w:rPr>
          <w:rFonts w:ascii="Times New Roman" w:hAnsi="Times New Roman" w:cs="Times New Roman"/>
          <w:sz w:val="28"/>
          <w:szCs w:val="28"/>
          <w:lang w:val="ro-RO"/>
        </w:rPr>
        <w:t>2,4</w:t>
      </w:r>
      <w:r w:rsidR="000918B8" w:rsidRPr="00B8105F">
        <w:rPr>
          <w:rFonts w:ascii="Times New Roman" w:hAnsi="Times New Roman" w:cs="Times New Roman"/>
          <w:sz w:val="28"/>
          <w:szCs w:val="28"/>
          <w:lang w:val="ro-RO"/>
        </w:rPr>
        <w:t xml:space="preserve"> milioane lei</w:t>
      </w:r>
      <w:r w:rsidR="00D9467C" w:rsidRPr="00B8105F">
        <w:rPr>
          <w:rFonts w:ascii="Times New Roman" w:hAnsi="Times New Roman" w:cs="Times New Roman"/>
          <w:sz w:val="28"/>
          <w:szCs w:val="28"/>
          <w:lang w:val="ro-RO"/>
        </w:rPr>
        <w:t xml:space="preserve">. </w:t>
      </w:r>
    </w:p>
    <w:p w:rsidR="008727DB" w:rsidRDefault="008727DB" w:rsidP="00B81ACE">
      <w:pPr>
        <w:spacing w:after="0" w:line="360" w:lineRule="auto"/>
        <w:ind w:firstLine="567"/>
        <w:jc w:val="both"/>
        <w:rPr>
          <w:rFonts w:ascii="Times New Roman" w:hAnsi="Times New Roman" w:cs="Times New Roman"/>
          <w:sz w:val="28"/>
          <w:szCs w:val="28"/>
          <w:lang w:val="ro-RO"/>
        </w:rPr>
      </w:pPr>
    </w:p>
    <w:p w:rsidR="006E2A96" w:rsidRPr="008C6CC0" w:rsidRDefault="008C6CC0" w:rsidP="00FD29A2">
      <w:pPr>
        <w:pBdr>
          <w:top w:val="single" w:sz="4" w:space="1" w:color="auto"/>
          <w:left w:val="single" w:sz="4" w:space="4" w:color="auto"/>
          <w:bottom w:val="single" w:sz="4" w:space="1" w:color="auto"/>
          <w:right w:val="single" w:sz="4" w:space="4" w:color="auto"/>
        </w:pBdr>
        <w:rPr>
          <w:rFonts w:ascii="Times New Roman" w:hAnsi="Times New Roman" w:cs="Times New Roman"/>
          <w:b/>
          <w:sz w:val="36"/>
          <w:szCs w:val="36"/>
          <w:lang w:val="ro-RO"/>
        </w:rPr>
      </w:pPr>
      <w:r>
        <w:rPr>
          <w:sz w:val="28"/>
          <w:szCs w:val="28"/>
          <w:lang w:val="ro-RO"/>
        </w:rPr>
        <w:t xml:space="preserve">                                       </w:t>
      </w:r>
      <w:r w:rsidRPr="008C6CC0">
        <w:rPr>
          <w:rFonts w:ascii="Times New Roman" w:hAnsi="Times New Roman" w:cs="Times New Roman"/>
          <w:b/>
          <w:sz w:val="36"/>
          <w:szCs w:val="36"/>
          <w:lang w:val="ro-RO"/>
        </w:rPr>
        <w:t>Asigurată restituirea</w:t>
      </w:r>
      <w:r w:rsidR="0056663D">
        <w:rPr>
          <w:rFonts w:ascii="Times New Roman" w:hAnsi="Times New Roman" w:cs="Times New Roman"/>
          <w:b/>
          <w:sz w:val="36"/>
          <w:szCs w:val="36"/>
          <w:lang w:val="ro-RO"/>
        </w:rPr>
        <w:t xml:space="preserve"> prejudiciului (</w:t>
      </w:r>
      <w:proofErr w:type="spellStart"/>
      <w:r w:rsidR="0056663D">
        <w:rPr>
          <w:rFonts w:ascii="Times New Roman" w:hAnsi="Times New Roman" w:cs="Times New Roman"/>
          <w:b/>
          <w:sz w:val="36"/>
          <w:szCs w:val="36"/>
          <w:lang w:val="ro-RO"/>
        </w:rPr>
        <w:t>mln</w:t>
      </w:r>
      <w:proofErr w:type="spellEnd"/>
      <w:r w:rsidR="0056663D">
        <w:rPr>
          <w:rFonts w:ascii="Times New Roman" w:hAnsi="Times New Roman" w:cs="Times New Roman"/>
          <w:b/>
          <w:sz w:val="36"/>
          <w:szCs w:val="36"/>
          <w:lang w:val="ro-RO"/>
        </w:rPr>
        <w:t>. lei)</w:t>
      </w:r>
    </w:p>
    <w:p w:rsidR="00B1474D" w:rsidRDefault="00B2694C" w:rsidP="00FD29A2">
      <w:pPr>
        <w:pBdr>
          <w:top w:val="single" w:sz="4" w:space="1" w:color="auto"/>
          <w:left w:val="single" w:sz="4" w:space="4" w:color="auto"/>
          <w:bottom w:val="single" w:sz="4" w:space="1" w:color="auto"/>
          <w:right w:val="single" w:sz="4" w:space="4" w:color="auto"/>
        </w:pBdr>
        <w:tabs>
          <w:tab w:val="left" w:pos="4590"/>
        </w:tabs>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pict>
          <v:rect id="_x0000_s1027" style="position:absolute;left:0;text-align:left;margin-left:46.05pt;margin-top:3.6pt;width:55.7pt;height:133.05pt;z-index:251659264" fillcolor="#548dd4 [1951]">
            <o:extrusion v:ext="view" on="t"/>
            <v:textbox style="mso-next-textbox:#_x0000_s1027">
              <w:txbxContent>
                <w:p w:rsidR="00D53A54" w:rsidRPr="0056663D" w:rsidRDefault="00D53A54">
                  <w:pPr>
                    <w:rPr>
                      <w:sz w:val="24"/>
                      <w:szCs w:val="24"/>
                      <w:lang w:val="en-US"/>
                    </w:rPr>
                  </w:pPr>
                  <w:r>
                    <w:rPr>
                      <w:sz w:val="24"/>
                      <w:szCs w:val="24"/>
                      <w:lang w:val="en-US"/>
                    </w:rPr>
                    <w:t xml:space="preserve">   </w:t>
                  </w:r>
                  <w:r w:rsidRPr="0056663D">
                    <w:rPr>
                      <w:sz w:val="24"/>
                      <w:szCs w:val="24"/>
                      <w:lang w:val="en-US"/>
                    </w:rPr>
                    <w:t>11</w:t>
                  </w:r>
                  <w:proofErr w:type="gramStart"/>
                  <w:r w:rsidRPr="0056663D">
                    <w:rPr>
                      <w:sz w:val="24"/>
                      <w:szCs w:val="24"/>
                      <w:lang w:val="en-US"/>
                    </w:rPr>
                    <w:t>,2</w:t>
                  </w:r>
                  <w:proofErr w:type="gramEnd"/>
                  <w:r w:rsidRPr="0056663D">
                    <w:rPr>
                      <w:sz w:val="24"/>
                      <w:szCs w:val="24"/>
                      <w:lang w:val="en-US"/>
                    </w:rPr>
                    <w:t xml:space="preserve"> </w:t>
                  </w:r>
                </w:p>
              </w:txbxContent>
            </v:textbox>
          </v:rect>
        </w:pict>
      </w:r>
      <w:r w:rsidR="00FD29A2">
        <w:rPr>
          <w:rFonts w:ascii="Times New Roman" w:hAnsi="Times New Roman" w:cs="Times New Roman"/>
          <w:sz w:val="28"/>
          <w:szCs w:val="28"/>
          <w:lang w:val="ro-RO"/>
        </w:rPr>
        <w:tab/>
      </w:r>
    </w:p>
    <w:p w:rsidR="00B1474D" w:rsidRDefault="00B2694C" w:rsidP="00FD29A2">
      <w:pPr>
        <w:pBdr>
          <w:top w:val="single" w:sz="4" w:space="1" w:color="auto"/>
          <w:left w:val="single" w:sz="4" w:space="4" w:color="auto"/>
          <w:bottom w:val="single" w:sz="4" w:space="1" w:color="auto"/>
          <w:right w:val="single" w:sz="4" w:space="4" w:color="auto"/>
        </w:pBd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pict>
          <v:rect id="_x0000_s1029" style="position:absolute;left:0;text-align:left;margin-left:195.75pt;margin-top:8.6pt;width:55.85pt;height:103.9pt;z-index:251661312" fillcolor="#ffc000">
            <o:extrusion v:ext="view" backdepth="1in" on="t" type="perspective"/>
            <v:textbox style="mso-next-textbox:#_x0000_s1029">
              <w:txbxContent>
                <w:p w:rsidR="00D53A54" w:rsidRPr="0056663D" w:rsidRDefault="00D53A54">
                  <w:pPr>
                    <w:rPr>
                      <w:sz w:val="24"/>
                      <w:szCs w:val="24"/>
                      <w:lang w:val="en-US"/>
                    </w:rPr>
                  </w:pPr>
                  <w:r>
                    <w:rPr>
                      <w:sz w:val="24"/>
                      <w:szCs w:val="24"/>
                      <w:lang w:val="en-US"/>
                    </w:rPr>
                    <w:t xml:space="preserve">    </w:t>
                  </w:r>
                  <w:r w:rsidRPr="0056663D">
                    <w:rPr>
                      <w:sz w:val="24"/>
                      <w:szCs w:val="24"/>
                      <w:lang w:val="en-US"/>
                    </w:rPr>
                    <w:t>7</w:t>
                  </w:r>
                  <w:proofErr w:type="gramStart"/>
                  <w:r w:rsidRPr="0056663D">
                    <w:rPr>
                      <w:sz w:val="24"/>
                      <w:szCs w:val="24"/>
                      <w:lang w:val="en-US"/>
                    </w:rPr>
                    <w:t>,4</w:t>
                  </w:r>
                  <w:proofErr w:type="gramEnd"/>
                  <w:r w:rsidRPr="0056663D">
                    <w:rPr>
                      <w:sz w:val="24"/>
                      <w:szCs w:val="24"/>
                      <w:lang w:val="en-US"/>
                    </w:rPr>
                    <w:t xml:space="preserve"> </w:t>
                  </w:r>
                </w:p>
              </w:txbxContent>
            </v:textbox>
          </v:rect>
        </w:pict>
      </w:r>
    </w:p>
    <w:p w:rsidR="00B1474D" w:rsidRDefault="00B2694C" w:rsidP="00FD29A2">
      <w:pPr>
        <w:pBdr>
          <w:top w:val="single" w:sz="4" w:space="1" w:color="auto"/>
          <w:left w:val="single" w:sz="4" w:space="4" w:color="auto"/>
          <w:bottom w:val="single" w:sz="4" w:space="1" w:color="auto"/>
          <w:right w:val="single" w:sz="4" w:space="4" w:color="auto"/>
        </w:pBd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pict>
          <v:rect id="_x0000_s1030" style="position:absolute;left:0;text-align:left;margin-left:267pt;margin-top:12.2pt;width:56.6pt;height:76.15pt;z-index:251662336" fillcolor="#d99594 [1941]">
            <o:extrusion v:ext="view" backdepth="1in" on="t" type="perspective"/>
            <v:textbox style="mso-next-textbox:#_x0000_s1030">
              <w:txbxContent>
                <w:p w:rsidR="00D53A54" w:rsidRPr="0056663D" w:rsidRDefault="00D53A54">
                  <w:pPr>
                    <w:rPr>
                      <w:sz w:val="24"/>
                      <w:szCs w:val="24"/>
                      <w:lang w:val="en-US"/>
                    </w:rPr>
                  </w:pPr>
                  <w:r>
                    <w:rPr>
                      <w:sz w:val="24"/>
                      <w:szCs w:val="24"/>
                      <w:lang w:val="en-US"/>
                    </w:rPr>
                    <w:t xml:space="preserve">    </w:t>
                  </w:r>
                  <w:r w:rsidRPr="0056663D">
                    <w:rPr>
                      <w:sz w:val="24"/>
                      <w:szCs w:val="24"/>
                      <w:lang w:val="en-US"/>
                    </w:rPr>
                    <w:t>5</w:t>
                  </w:r>
                  <w:proofErr w:type="gramStart"/>
                  <w:r w:rsidRPr="0056663D">
                    <w:rPr>
                      <w:sz w:val="24"/>
                      <w:szCs w:val="24"/>
                      <w:lang w:val="en-US"/>
                    </w:rPr>
                    <w:t>,7</w:t>
                  </w:r>
                  <w:proofErr w:type="gramEnd"/>
                  <w:r w:rsidRPr="0056663D">
                    <w:rPr>
                      <w:sz w:val="24"/>
                      <w:szCs w:val="24"/>
                      <w:lang w:val="en-US"/>
                    </w:rPr>
                    <w:t xml:space="preserve"> </w:t>
                  </w:r>
                </w:p>
              </w:txbxContent>
            </v:textbox>
          </v:rect>
        </w:pict>
      </w:r>
    </w:p>
    <w:p w:rsidR="00B1474D" w:rsidRDefault="00B2694C" w:rsidP="00FD29A2">
      <w:pPr>
        <w:pBdr>
          <w:top w:val="single" w:sz="4" w:space="1" w:color="auto"/>
          <w:left w:val="single" w:sz="4" w:space="4" w:color="auto"/>
          <w:bottom w:val="single" w:sz="4" w:space="1" w:color="auto"/>
          <w:right w:val="single" w:sz="4" w:space="4" w:color="auto"/>
        </w:pBd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pict>
          <v:rect id="_x0000_s1031" style="position:absolute;left:0;text-align:left;margin-left:342pt;margin-top:19.5pt;width:52.85pt;height:44pt;z-index:251663360" fillcolor="#92d050">
            <o:extrusion v:ext="view" on="t"/>
            <v:textbox style="mso-next-textbox:#_x0000_s1031">
              <w:txbxContent>
                <w:p w:rsidR="00D53A54" w:rsidRPr="0056663D" w:rsidRDefault="00D53A54">
                  <w:pPr>
                    <w:rPr>
                      <w:sz w:val="24"/>
                      <w:szCs w:val="24"/>
                      <w:lang w:val="en-US"/>
                    </w:rPr>
                  </w:pPr>
                  <w:r>
                    <w:rPr>
                      <w:sz w:val="24"/>
                      <w:szCs w:val="24"/>
                      <w:lang w:val="en-US"/>
                    </w:rPr>
                    <w:t xml:space="preserve">    </w:t>
                  </w:r>
                  <w:r w:rsidRPr="0056663D">
                    <w:rPr>
                      <w:sz w:val="24"/>
                      <w:szCs w:val="24"/>
                      <w:lang w:val="en-US"/>
                    </w:rPr>
                    <w:t xml:space="preserve">2,4 </w:t>
                  </w:r>
                </w:p>
              </w:txbxContent>
            </v:textbox>
          </v:rect>
        </w:pict>
      </w:r>
    </w:p>
    <w:p w:rsidR="00B1474D" w:rsidRDefault="00B2694C" w:rsidP="00FD29A2">
      <w:pPr>
        <w:pBdr>
          <w:top w:val="single" w:sz="4" w:space="1" w:color="auto"/>
          <w:left w:val="single" w:sz="4" w:space="4" w:color="auto"/>
          <w:bottom w:val="single" w:sz="4" w:space="1" w:color="auto"/>
          <w:right w:val="single" w:sz="4" w:space="4" w:color="auto"/>
        </w:pBdr>
        <w:spacing w:after="0" w:line="360" w:lineRule="auto"/>
        <w:ind w:firstLine="567"/>
        <w:jc w:val="both"/>
        <w:rPr>
          <w:rFonts w:ascii="Times New Roman" w:hAnsi="Times New Roman" w:cs="Times New Roman"/>
          <w:sz w:val="28"/>
          <w:szCs w:val="28"/>
          <w:lang w:val="ro-RO"/>
        </w:rPr>
      </w:pPr>
      <w:r w:rsidRPr="00B2694C">
        <w:rPr>
          <w:rFonts w:ascii="Times New Roman" w:hAnsi="Times New Roman" w:cs="Times New Roman"/>
          <w:noProof/>
          <w:color w:val="000000" w:themeColor="text1"/>
          <w:sz w:val="28"/>
          <w:szCs w:val="28"/>
        </w:rPr>
        <w:pict>
          <v:rect id="_x0000_s1028" style="position:absolute;left:0;text-align:left;margin-left:118.85pt;margin-top:15.7pt;width:59.4pt;height:23.7pt;z-index:251660288" fillcolor="#76923c [2406]">
            <o:extrusion v:ext="view" on="t"/>
            <v:textbox style="mso-next-textbox:#_x0000_s1028">
              <w:txbxContent>
                <w:p w:rsidR="00D53A54" w:rsidRPr="0056663D" w:rsidRDefault="00D53A54">
                  <w:pPr>
                    <w:rPr>
                      <w:sz w:val="24"/>
                      <w:szCs w:val="24"/>
                      <w:lang w:val="en-US"/>
                    </w:rPr>
                  </w:pPr>
                  <w:r>
                    <w:rPr>
                      <w:sz w:val="24"/>
                      <w:szCs w:val="24"/>
                      <w:lang w:val="en-US"/>
                    </w:rPr>
                    <w:t xml:space="preserve">     </w:t>
                  </w:r>
                  <w:r w:rsidRPr="0056663D">
                    <w:rPr>
                      <w:sz w:val="24"/>
                      <w:szCs w:val="24"/>
                      <w:lang w:val="en-US"/>
                    </w:rPr>
                    <w:t xml:space="preserve">0, 7 </w:t>
                  </w:r>
                </w:p>
              </w:txbxContent>
            </v:textbox>
          </v:rect>
        </w:pict>
      </w:r>
    </w:p>
    <w:p w:rsidR="00B1474D" w:rsidRPr="00B8105F" w:rsidRDefault="00B2694C" w:rsidP="00FD29A2">
      <w:pPr>
        <w:pBdr>
          <w:top w:val="single" w:sz="4" w:space="1" w:color="auto"/>
          <w:left w:val="single" w:sz="4" w:space="4" w:color="auto"/>
          <w:bottom w:val="single" w:sz="4" w:space="1" w:color="auto"/>
          <w:right w:val="single" w:sz="4" w:space="4" w:color="auto"/>
        </w:pBdr>
        <w:spacing w:after="0" w:line="360" w:lineRule="auto"/>
        <w:ind w:firstLine="567"/>
        <w:jc w:val="both"/>
        <w:rPr>
          <w:rFonts w:ascii="Times New Roman" w:hAnsi="Times New Roman" w:cs="Times New Roman"/>
          <w:sz w:val="28"/>
          <w:szCs w:val="28"/>
          <w:lang w:val="ro-RO"/>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36.2pt;margin-top:15.95pt;width:366.8pt;height:0;z-index:251658240" o:connectortype="straight"/>
        </w:pict>
      </w:r>
    </w:p>
    <w:p w:rsidR="008C6CC0" w:rsidRPr="008C6CC0" w:rsidRDefault="00254209" w:rsidP="00FD29A2">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lang w:val="ro-RO"/>
        </w:rPr>
      </w:pPr>
      <w:r>
        <w:rPr>
          <w:rFonts w:ascii="Times New Roman" w:hAnsi="Times New Roman" w:cs="Times New Roman"/>
          <w:sz w:val="28"/>
          <w:szCs w:val="28"/>
          <w:lang w:val="ro-RO"/>
        </w:rPr>
        <w:t xml:space="preserve">  </w:t>
      </w:r>
      <w:r w:rsidRPr="00254209">
        <w:rPr>
          <w:rFonts w:ascii="Times New Roman" w:hAnsi="Times New Roman" w:cs="Times New Roman"/>
          <w:lang w:val="ro-RO"/>
        </w:rPr>
        <w:t xml:space="preserve"> </w:t>
      </w:r>
      <w:r>
        <w:rPr>
          <w:rFonts w:ascii="Times New Roman" w:hAnsi="Times New Roman" w:cs="Times New Roman"/>
          <w:lang w:val="ro-RO"/>
        </w:rPr>
        <w:t xml:space="preserve">   </w:t>
      </w:r>
      <w:r w:rsidRPr="008C6CC0">
        <w:rPr>
          <w:rFonts w:ascii="Times New Roman" w:hAnsi="Times New Roman" w:cs="Times New Roman"/>
          <w:b/>
          <w:lang w:val="ro-RO"/>
        </w:rPr>
        <w:t>Prejudiciu          Lipsuri</w:t>
      </w:r>
      <w:r w:rsidR="008C6CC0">
        <w:rPr>
          <w:rFonts w:ascii="Times New Roman" w:hAnsi="Times New Roman" w:cs="Times New Roman"/>
          <w:lang w:val="ro-RO"/>
        </w:rPr>
        <w:t xml:space="preserve">           </w:t>
      </w:r>
      <w:r w:rsidRPr="008C6CC0">
        <w:rPr>
          <w:rFonts w:ascii="Times New Roman" w:hAnsi="Times New Roman" w:cs="Times New Roman"/>
          <w:b/>
          <w:lang w:val="ro-RO"/>
        </w:rPr>
        <w:t xml:space="preserve">Cheltuieli </w:t>
      </w:r>
      <w:r w:rsidR="008C6CC0" w:rsidRPr="008C6CC0">
        <w:rPr>
          <w:rFonts w:ascii="Times New Roman" w:hAnsi="Times New Roman" w:cs="Times New Roman"/>
          <w:b/>
          <w:lang w:val="ro-RO"/>
        </w:rPr>
        <w:t xml:space="preserve">        Conform </w:t>
      </w:r>
      <w:r w:rsidR="008C6CC0">
        <w:rPr>
          <w:rFonts w:ascii="Times New Roman" w:hAnsi="Times New Roman" w:cs="Times New Roman"/>
          <w:b/>
          <w:lang w:val="ro-RO"/>
        </w:rPr>
        <w:t xml:space="preserve">          </w:t>
      </w:r>
      <w:r w:rsidR="008C6CC0" w:rsidRPr="008C6CC0">
        <w:rPr>
          <w:rFonts w:ascii="Times New Roman" w:hAnsi="Times New Roman" w:cs="Times New Roman"/>
          <w:b/>
          <w:lang w:val="ro-RO"/>
        </w:rPr>
        <w:t>Venit ratat</w:t>
      </w:r>
    </w:p>
    <w:p w:rsidR="008C6CC0" w:rsidRPr="008C6CC0" w:rsidRDefault="008C6CC0" w:rsidP="00FD29A2">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lang w:val="ro-RO"/>
        </w:rPr>
      </w:pPr>
      <w:r w:rsidRPr="008C6CC0">
        <w:rPr>
          <w:rFonts w:ascii="Times New Roman" w:hAnsi="Times New Roman" w:cs="Times New Roman"/>
          <w:b/>
          <w:lang w:val="ro-RO"/>
        </w:rPr>
        <w:t xml:space="preserve">                                                        nelegitime</w:t>
      </w:r>
      <w:r>
        <w:rPr>
          <w:rFonts w:ascii="Times New Roman" w:hAnsi="Times New Roman" w:cs="Times New Roman"/>
          <w:b/>
          <w:lang w:val="ro-RO"/>
        </w:rPr>
        <w:t xml:space="preserve">        </w:t>
      </w:r>
      <w:r w:rsidRPr="008C6CC0">
        <w:rPr>
          <w:rFonts w:ascii="Times New Roman" w:hAnsi="Times New Roman" w:cs="Times New Roman"/>
          <w:b/>
          <w:lang w:val="ro-RO"/>
        </w:rPr>
        <w:t xml:space="preserve">materialelor </w:t>
      </w:r>
    </w:p>
    <w:p w:rsidR="008C6CC0" w:rsidRPr="008C6CC0" w:rsidRDefault="008C6CC0" w:rsidP="00FD29A2">
      <w:pPr>
        <w:pBdr>
          <w:top w:val="single" w:sz="4" w:space="1" w:color="auto"/>
          <w:left w:val="single" w:sz="4" w:space="4" w:color="auto"/>
          <w:bottom w:val="single" w:sz="4" w:space="1" w:color="auto"/>
          <w:right w:val="single" w:sz="4" w:space="4" w:color="auto"/>
        </w:pBdr>
        <w:spacing w:after="0" w:line="240" w:lineRule="auto"/>
        <w:ind w:firstLine="567"/>
        <w:jc w:val="both"/>
        <w:rPr>
          <w:rFonts w:ascii="Times New Roman" w:hAnsi="Times New Roman" w:cs="Times New Roman"/>
          <w:b/>
          <w:lang w:val="ro-RO"/>
        </w:rPr>
      </w:pPr>
      <w:r w:rsidRPr="008C6CC0">
        <w:rPr>
          <w:rFonts w:ascii="Times New Roman" w:hAnsi="Times New Roman" w:cs="Times New Roman"/>
          <w:b/>
          <w:lang w:val="ro-RO"/>
        </w:rPr>
        <w:t xml:space="preserve">                                                                  </w:t>
      </w:r>
      <w:r w:rsidR="008727DB">
        <w:rPr>
          <w:rFonts w:ascii="Times New Roman" w:hAnsi="Times New Roman" w:cs="Times New Roman"/>
          <w:b/>
          <w:lang w:val="ro-RO"/>
        </w:rPr>
        <w:t xml:space="preserve">              din anii precedenți</w:t>
      </w:r>
    </w:p>
    <w:p w:rsidR="008C6CC0" w:rsidRDefault="008C6CC0" w:rsidP="00FD29A2">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p>
    <w:p w:rsidR="008727DB" w:rsidRDefault="008C6CC0" w:rsidP="008C6CC0">
      <w:pPr>
        <w:spacing w:after="0" w:line="36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p>
    <w:p w:rsidR="00223B2C" w:rsidRPr="00B8105F" w:rsidRDefault="008727DB" w:rsidP="008C6CC0">
      <w:pPr>
        <w:spacing w:after="0" w:line="36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B81ACE" w:rsidRPr="00B8105F">
        <w:rPr>
          <w:rFonts w:ascii="Times New Roman" w:hAnsi="Times New Roman" w:cs="Times New Roman"/>
          <w:sz w:val="28"/>
          <w:szCs w:val="28"/>
          <w:lang w:val="ro-RO"/>
        </w:rPr>
        <w:t xml:space="preserve">Din sumele calculate suplimentar la buget, s-au încasat </w:t>
      </w:r>
      <w:r w:rsidR="004254C1" w:rsidRPr="00B8105F">
        <w:rPr>
          <w:rFonts w:ascii="Times New Roman" w:hAnsi="Times New Roman" w:cs="Times New Roman"/>
          <w:sz w:val="28"/>
          <w:szCs w:val="28"/>
          <w:lang w:val="ro-RO"/>
        </w:rPr>
        <w:t>6,5</w:t>
      </w:r>
      <w:r w:rsidR="00B81ACE" w:rsidRPr="00B8105F">
        <w:rPr>
          <w:rFonts w:ascii="Times New Roman" w:hAnsi="Times New Roman" w:cs="Times New Roman"/>
          <w:sz w:val="28"/>
          <w:szCs w:val="28"/>
          <w:lang w:val="ro-RO"/>
        </w:rPr>
        <w:t xml:space="preserve"> milioane lei</w:t>
      </w:r>
      <w:r w:rsidR="00D9467C" w:rsidRPr="00B8105F">
        <w:rPr>
          <w:rFonts w:ascii="Times New Roman" w:hAnsi="Times New Roman" w:cs="Times New Roman"/>
          <w:sz w:val="28"/>
          <w:szCs w:val="28"/>
          <w:lang w:val="ro-RO"/>
        </w:rPr>
        <w:t xml:space="preserve">, inclusiv în anul </w:t>
      </w:r>
      <w:r w:rsidR="003E7F20" w:rsidRPr="00B8105F">
        <w:rPr>
          <w:rFonts w:ascii="Times New Roman" w:hAnsi="Times New Roman" w:cs="Times New Roman"/>
          <w:sz w:val="28"/>
          <w:szCs w:val="28"/>
          <w:lang w:val="ro-RO"/>
        </w:rPr>
        <w:t>raportat</w:t>
      </w:r>
      <w:r w:rsidR="00D9467C" w:rsidRPr="00B8105F">
        <w:rPr>
          <w:rFonts w:ascii="Times New Roman" w:hAnsi="Times New Roman" w:cs="Times New Roman"/>
          <w:sz w:val="28"/>
          <w:szCs w:val="28"/>
          <w:lang w:val="ro-RO"/>
        </w:rPr>
        <w:t xml:space="preserve"> </w:t>
      </w:r>
      <w:r w:rsidR="004254C1" w:rsidRPr="00B8105F">
        <w:rPr>
          <w:rFonts w:ascii="Times New Roman" w:hAnsi="Times New Roman" w:cs="Times New Roman"/>
          <w:sz w:val="28"/>
          <w:szCs w:val="28"/>
          <w:lang w:val="ro-RO"/>
        </w:rPr>
        <w:t>–</w:t>
      </w:r>
      <w:r w:rsidR="00D9467C" w:rsidRPr="00B8105F">
        <w:rPr>
          <w:rFonts w:ascii="Times New Roman" w:hAnsi="Times New Roman" w:cs="Times New Roman"/>
          <w:sz w:val="28"/>
          <w:szCs w:val="28"/>
          <w:lang w:val="ro-RO"/>
        </w:rPr>
        <w:t xml:space="preserve"> </w:t>
      </w:r>
      <w:r w:rsidR="004254C1" w:rsidRPr="00B8105F">
        <w:rPr>
          <w:rFonts w:ascii="Times New Roman" w:hAnsi="Times New Roman" w:cs="Times New Roman"/>
          <w:sz w:val="28"/>
          <w:szCs w:val="28"/>
          <w:lang w:val="ro-RO"/>
        </w:rPr>
        <w:t>1,2</w:t>
      </w:r>
      <w:r w:rsidR="00D9467C" w:rsidRPr="00B8105F">
        <w:rPr>
          <w:rFonts w:ascii="Times New Roman" w:hAnsi="Times New Roman" w:cs="Times New Roman"/>
          <w:sz w:val="28"/>
          <w:szCs w:val="28"/>
          <w:lang w:val="ro-RO"/>
        </w:rPr>
        <w:t xml:space="preserve"> milioane lei, conform materialelor de inspectări (controale) financiare efectuate în anii precedenţi – </w:t>
      </w:r>
      <w:r w:rsidR="004254C1" w:rsidRPr="00B8105F">
        <w:rPr>
          <w:rFonts w:ascii="Times New Roman" w:hAnsi="Times New Roman" w:cs="Times New Roman"/>
          <w:sz w:val="28"/>
          <w:szCs w:val="28"/>
          <w:lang w:val="ro-RO"/>
        </w:rPr>
        <w:t>5,3</w:t>
      </w:r>
      <w:r w:rsidR="00D9467C" w:rsidRPr="00B8105F">
        <w:rPr>
          <w:rFonts w:ascii="Times New Roman" w:hAnsi="Times New Roman" w:cs="Times New Roman"/>
          <w:sz w:val="28"/>
          <w:szCs w:val="28"/>
          <w:lang w:val="ro-RO"/>
        </w:rPr>
        <w:t xml:space="preserve"> milioane lei.</w:t>
      </w:r>
    </w:p>
    <w:p w:rsidR="001A44B3" w:rsidRPr="00B8105F" w:rsidRDefault="008C6CC0" w:rsidP="00B81ACE">
      <w:pPr>
        <w:spacing w:after="0" w:line="360" w:lineRule="auto"/>
        <w:ind w:firstLine="567"/>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001A44B3" w:rsidRPr="00B8105F">
        <w:rPr>
          <w:rFonts w:ascii="Times New Roman" w:hAnsi="Times New Roman" w:cs="Times New Roman"/>
          <w:sz w:val="28"/>
          <w:szCs w:val="28"/>
          <w:lang w:val="ro-RO"/>
        </w:rPr>
        <w:t xml:space="preserve">Au fost </w:t>
      </w:r>
      <w:r w:rsidR="00E1422F" w:rsidRPr="00B8105F">
        <w:rPr>
          <w:rFonts w:ascii="Times New Roman" w:hAnsi="Times New Roman" w:cs="Times New Roman"/>
          <w:sz w:val="28"/>
          <w:szCs w:val="28"/>
          <w:lang w:val="ro-RO"/>
        </w:rPr>
        <w:t xml:space="preserve">depistate ca </w:t>
      </w:r>
      <w:r w:rsidR="001A44B3" w:rsidRPr="00B8105F">
        <w:rPr>
          <w:rFonts w:ascii="Times New Roman" w:hAnsi="Times New Roman" w:cs="Times New Roman"/>
          <w:sz w:val="28"/>
          <w:szCs w:val="28"/>
          <w:lang w:val="ro-RO"/>
        </w:rPr>
        <w:t>neînregistrate valori materiale/nemateriale şi mijloace băneşti, inclusiv surplusuri estimate in suma de 138,6 milioane lei.</w:t>
      </w:r>
    </w:p>
    <w:p w:rsidR="00B81ACE" w:rsidRPr="00B8105F" w:rsidRDefault="00B81ACE" w:rsidP="00B81ACE">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Întru acoperirea integrală a pagubei cauzate statului şi tragerea la răspundere a persoanelor vinovate, în perioada raportată au fost remise spre examinare </w:t>
      </w:r>
      <w:r w:rsidR="006F2392" w:rsidRPr="00B8105F">
        <w:rPr>
          <w:rFonts w:ascii="Times New Roman" w:hAnsi="Times New Roman" w:cs="Times New Roman"/>
          <w:sz w:val="28"/>
          <w:szCs w:val="28"/>
          <w:lang w:val="ro-RO"/>
        </w:rPr>
        <w:t xml:space="preserve">în adresa organelor de drept </w:t>
      </w:r>
      <w:r w:rsidR="00C66CA4" w:rsidRPr="00B8105F">
        <w:rPr>
          <w:rFonts w:ascii="Times New Roman" w:hAnsi="Times New Roman" w:cs="Times New Roman"/>
          <w:sz w:val="28"/>
          <w:szCs w:val="28"/>
          <w:lang w:val="ro-RO"/>
        </w:rPr>
        <w:t>353</w:t>
      </w:r>
      <w:r w:rsidRPr="00B8105F">
        <w:rPr>
          <w:rFonts w:ascii="Times New Roman" w:hAnsi="Times New Roman" w:cs="Times New Roman"/>
          <w:sz w:val="28"/>
          <w:szCs w:val="28"/>
          <w:lang w:val="ro-RO"/>
        </w:rPr>
        <w:t xml:space="preserve"> materiale </w:t>
      </w:r>
      <w:r w:rsidR="00E1422F" w:rsidRPr="00B8105F">
        <w:rPr>
          <w:rFonts w:ascii="Times New Roman" w:hAnsi="Times New Roman" w:cs="Times New Roman"/>
          <w:sz w:val="28"/>
          <w:szCs w:val="28"/>
          <w:lang w:val="ro-RO"/>
        </w:rPr>
        <w:t>ale i</w:t>
      </w:r>
      <w:r w:rsidRPr="00B8105F">
        <w:rPr>
          <w:rFonts w:ascii="Times New Roman" w:hAnsi="Times New Roman" w:cs="Times New Roman"/>
          <w:sz w:val="28"/>
          <w:szCs w:val="28"/>
          <w:lang w:val="ro-RO"/>
        </w:rPr>
        <w:t>nspectăr</w:t>
      </w:r>
      <w:r w:rsidR="006F2392" w:rsidRPr="00B8105F">
        <w:rPr>
          <w:rFonts w:ascii="Times New Roman" w:hAnsi="Times New Roman" w:cs="Times New Roman"/>
          <w:sz w:val="28"/>
          <w:szCs w:val="28"/>
          <w:lang w:val="ro-RO"/>
        </w:rPr>
        <w:t>i</w:t>
      </w:r>
      <w:r w:rsidR="00E1422F" w:rsidRPr="00B8105F">
        <w:rPr>
          <w:rFonts w:ascii="Times New Roman" w:hAnsi="Times New Roman" w:cs="Times New Roman"/>
          <w:sz w:val="28"/>
          <w:szCs w:val="28"/>
          <w:lang w:val="ro-RO"/>
        </w:rPr>
        <w:t>lor financiare</w:t>
      </w:r>
      <w:r w:rsidR="006F2392" w:rsidRPr="00B8105F">
        <w:rPr>
          <w:rFonts w:ascii="Times New Roman" w:hAnsi="Times New Roman" w:cs="Times New Roman"/>
          <w:sz w:val="28"/>
          <w:szCs w:val="28"/>
          <w:lang w:val="ro-RO"/>
        </w:rPr>
        <w:t>, suma totală</w:t>
      </w:r>
      <w:r w:rsidR="00E1422F" w:rsidRPr="00B8105F">
        <w:rPr>
          <w:rFonts w:ascii="Times New Roman" w:hAnsi="Times New Roman" w:cs="Times New Roman"/>
          <w:sz w:val="28"/>
          <w:szCs w:val="28"/>
          <w:lang w:val="ro-RO"/>
        </w:rPr>
        <w:t xml:space="preserve"> a prejudiciului constituind</w:t>
      </w:r>
      <w:r w:rsidR="00C66CA4" w:rsidRPr="00B8105F">
        <w:rPr>
          <w:rFonts w:ascii="Times New Roman" w:hAnsi="Times New Roman" w:cs="Times New Roman"/>
          <w:sz w:val="28"/>
          <w:szCs w:val="28"/>
          <w:lang w:val="ro-RO"/>
        </w:rPr>
        <w:t xml:space="preserve"> 568,9</w:t>
      </w:r>
      <w:r w:rsidRPr="00B8105F">
        <w:rPr>
          <w:rFonts w:ascii="Times New Roman" w:hAnsi="Times New Roman" w:cs="Times New Roman"/>
          <w:sz w:val="28"/>
          <w:szCs w:val="28"/>
          <w:lang w:val="ro-RO"/>
        </w:rPr>
        <w:t xml:space="preserve"> milioane lei. </w:t>
      </w:r>
    </w:p>
    <w:p w:rsidR="00B81ACE" w:rsidRPr="00B8105F" w:rsidRDefault="00E1422F" w:rsidP="00B81ACE">
      <w:pPr>
        <w:spacing w:after="0" w:line="360" w:lineRule="auto"/>
        <w:ind w:firstLine="567"/>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lastRenderedPageBreak/>
        <w:t>În privința persoanelor</w:t>
      </w:r>
      <w:r w:rsidR="00B81ACE" w:rsidRPr="00B8105F">
        <w:rPr>
          <w:rFonts w:ascii="Times New Roman" w:hAnsi="Times New Roman" w:cs="Times New Roman"/>
          <w:sz w:val="28"/>
          <w:szCs w:val="28"/>
          <w:lang w:val="ro-RO"/>
        </w:rPr>
        <w:t xml:space="preserve"> cu funcţii de răspundere</w:t>
      </w:r>
      <w:r w:rsidRPr="00B8105F">
        <w:rPr>
          <w:rFonts w:ascii="Times New Roman" w:hAnsi="Times New Roman" w:cs="Times New Roman"/>
          <w:sz w:val="28"/>
          <w:szCs w:val="28"/>
          <w:lang w:val="ro-RO"/>
        </w:rPr>
        <w:t>,</w:t>
      </w:r>
      <w:r w:rsidR="00B81ACE" w:rsidRPr="00B8105F">
        <w:rPr>
          <w:rFonts w:ascii="Times New Roman" w:hAnsi="Times New Roman" w:cs="Times New Roman"/>
          <w:sz w:val="28"/>
          <w:szCs w:val="28"/>
          <w:lang w:val="ro-RO"/>
        </w:rPr>
        <w:t xml:space="preserve"> în perioada raportată, pentru încălcările constatate în cadrul inspectăril</w:t>
      </w:r>
      <w:r w:rsidRPr="00B8105F">
        <w:rPr>
          <w:rFonts w:ascii="Times New Roman" w:hAnsi="Times New Roman" w:cs="Times New Roman"/>
          <w:sz w:val="28"/>
          <w:szCs w:val="28"/>
          <w:lang w:val="ro-RO"/>
        </w:rPr>
        <w:t>or financiare, au fost adoptate</w:t>
      </w:r>
      <w:r w:rsidR="006F2392" w:rsidRPr="00B8105F">
        <w:rPr>
          <w:rFonts w:ascii="Times New Roman" w:hAnsi="Times New Roman" w:cs="Times New Roman"/>
          <w:sz w:val="28"/>
          <w:szCs w:val="28"/>
          <w:lang w:val="ro-RO"/>
        </w:rPr>
        <w:t xml:space="preserve"> </w:t>
      </w:r>
      <w:r w:rsidR="006A119C" w:rsidRPr="00B8105F">
        <w:rPr>
          <w:rFonts w:ascii="Times New Roman" w:hAnsi="Times New Roman" w:cs="Times New Roman"/>
          <w:sz w:val="28"/>
          <w:szCs w:val="28"/>
          <w:lang w:val="ro-RO"/>
        </w:rPr>
        <w:t>718</w:t>
      </w:r>
      <w:r w:rsidR="00B81ACE" w:rsidRPr="00B8105F">
        <w:rPr>
          <w:rFonts w:ascii="Times New Roman" w:hAnsi="Times New Roman" w:cs="Times New Roman"/>
          <w:sz w:val="28"/>
          <w:szCs w:val="28"/>
          <w:lang w:val="ro-RO"/>
        </w:rPr>
        <w:t xml:space="preserve"> decizii de aplicare a sancţiunilor contravenţio</w:t>
      </w:r>
      <w:r w:rsidR="000E2E15" w:rsidRPr="00B8105F">
        <w:rPr>
          <w:rFonts w:ascii="Times New Roman" w:hAnsi="Times New Roman" w:cs="Times New Roman"/>
          <w:sz w:val="28"/>
          <w:szCs w:val="28"/>
          <w:lang w:val="ro-RO"/>
        </w:rPr>
        <w:t>nale</w:t>
      </w:r>
      <w:r w:rsidRPr="00B8105F">
        <w:rPr>
          <w:rFonts w:ascii="Times New Roman" w:hAnsi="Times New Roman" w:cs="Times New Roman"/>
          <w:sz w:val="28"/>
          <w:szCs w:val="28"/>
          <w:lang w:val="ro-RO"/>
        </w:rPr>
        <w:t xml:space="preserve">, </w:t>
      </w:r>
      <w:r w:rsidR="00DC0CDD" w:rsidRPr="00B8105F">
        <w:rPr>
          <w:rFonts w:ascii="Times New Roman" w:hAnsi="Times New Roman" w:cs="Times New Roman"/>
          <w:sz w:val="28"/>
          <w:szCs w:val="28"/>
          <w:lang w:val="ro-RO"/>
        </w:rPr>
        <w:t xml:space="preserve">suma </w:t>
      </w:r>
      <w:r w:rsidRPr="00B8105F">
        <w:rPr>
          <w:rFonts w:ascii="Times New Roman" w:hAnsi="Times New Roman" w:cs="Times New Roman"/>
          <w:sz w:val="28"/>
          <w:szCs w:val="28"/>
          <w:lang w:val="ro-RO"/>
        </w:rPr>
        <w:t xml:space="preserve">amenzilor </w:t>
      </w:r>
      <w:r w:rsidR="006F2392" w:rsidRPr="00B8105F">
        <w:rPr>
          <w:rFonts w:ascii="Times New Roman" w:hAnsi="Times New Roman" w:cs="Times New Roman"/>
          <w:sz w:val="28"/>
          <w:szCs w:val="28"/>
          <w:lang w:val="ro-RO"/>
        </w:rPr>
        <w:t xml:space="preserve">constituind </w:t>
      </w:r>
      <w:r w:rsidR="003E7F20" w:rsidRPr="00B8105F">
        <w:rPr>
          <w:rFonts w:ascii="Times New Roman" w:hAnsi="Times New Roman" w:cs="Times New Roman"/>
          <w:sz w:val="28"/>
          <w:szCs w:val="28"/>
          <w:lang w:val="ro-RO"/>
        </w:rPr>
        <w:t>439,</w:t>
      </w:r>
      <w:r w:rsidR="006A119C" w:rsidRPr="00B8105F">
        <w:rPr>
          <w:rFonts w:ascii="Times New Roman" w:hAnsi="Times New Roman" w:cs="Times New Roman"/>
          <w:sz w:val="28"/>
          <w:szCs w:val="28"/>
          <w:lang w:val="ro-RO"/>
        </w:rPr>
        <w:t>1</w:t>
      </w:r>
      <w:r w:rsidRPr="00B8105F">
        <w:rPr>
          <w:rFonts w:ascii="Times New Roman" w:hAnsi="Times New Roman" w:cs="Times New Roman"/>
          <w:sz w:val="28"/>
          <w:szCs w:val="28"/>
          <w:lang w:val="ro-RO"/>
        </w:rPr>
        <w:t xml:space="preserve"> mii lei</w:t>
      </w:r>
      <w:r w:rsidR="00B81ACE" w:rsidRPr="00B8105F">
        <w:rPr>
          <w:rFonts w:ascii="Times New Roman" w:hAnsi="Times New Roman" w:cs="Times New Roman"/>
          <w:sz w:val="28"/>
          <w:szCs w:val="28"/>
          <w:lang w:val="ro-RO"/>
        </w:rPr>
        <w:t xml:space="preserve">, </w:t>
      </w:r>
      <w:r w:rsidRPr="00B8105F">
        <w:rPr>
          <w:rFonts w:ascii="Times New Roman" w:hAnsi="Times New Roman" w:cs="Times New Roman"/>
          <w:sz w:val="28"/>
          <w:szCs w:val="28"/>
          <w:lang w:val="ro-RO"/>
        </w:rPr>
        <w:t>încasate</w:t>
      </w:r>
      <w:r w:rsidR="00B81ACE" w:rsidRPr="00B8105F">
        <w:rPr>
          <w:rFonts w:ascii="Times New Roman" w:hAnsi="Times New Roman" w:cs="Times New Roman"/>
          <w:sz w:val="28"/>
          <w:szCs w:val="28"/>
          <w:lang w:val="ro-RO"/>
        </w:rPr>
        <w:t xml:space="preserve"> integral</w:t>
      </w:r>
      <w:r w:rsidRPr="00B8105F">
        <w:rPr>
          <w:rFonts w:ascii="Times New Roman" w:hAnsi="Times New Roman" w:cs="Times New Roman"/>
          <w:sz w:val="28"/>
          <w:szCs w:val="28"/>
          <w:lang w:val="ro-RO"/>
        </w:rPr>
        <w:t xml:space="preserve"> la bugetul de stat</w:t>
      </w:r>
      <w:r w:rsidR="00B81ACE" w:rsidRPr="00B8105F">
        <w:rPr>
          <w:rFonts w:ascii="Times New Roman" w:hAnsi="Times New Roman" w:cs="Times New Roman"/>
          <w:sz w:val="28"/>
          <w:szCs w:val="28"/>
          <w:lang w:val="ro-RO"/>
        </w:rPr>
        <w:t>.</w:t>
      </w:r>
    </w:p>
    <w:p w:rsidR="00B81ACE" w:rsidRDefault="00B81ACE"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sz w:val="28"/>
          <w:szCs w:val="28"/>
          <w:lang w:val="ro-RO"/>
        </w:rPr>
      </w:pPr>
      <w:r w:rsidRPr="00B8105F">
        <w:rPr>
          <w:rFonts w:ascii="Times New Roman" w:hAnsi="Times New Roman" w:cs="Times New Roman"/>
          <w:sz w:val="28"/>
          <w:szCs w:val="28"/>
          <w:lang w:val="ro-RO"/>
        </w:rPr>
        <w:t xml:space="preserve">Inspecţia Financiară monitorizează </w:t>
      </w:r>
      <w:r w:rsidR="008409DB" w:rsidRPr="00B8105F">
        <w:rPr>
          <w:rFonts w:ascii="Times New Roman" w:hAnsi="Times New Roman" w:cs="Times New Roman"/>
          <w:sz w:val="28"/>
          <w:szCs w:val="28"/>
          <w:lang w:val="ro-RO"/>
        </w:rPr>
        <w:t>gestionarea corectă a patrimoni</w:t>
      </w:r>
      <w:r w:rsidR="000E2E15" w:rsidRPr="00B8105F">
        <w:rPr>
          <w:rFonts w:ascii="Times New Roman" w:hAnsi="Times New Roman" w:cs="Times New Roman"/>
          <w:sz w:val="28"/>
          <w:szCs w:val="28"/>
          <w:lang w:val="ro-RO"/>
        </w:rPr>
        <w:t>ului public și banilor bugetari</w:t>
      </w:r>
      <w:r w:rsidR="008409DB" w:rsidRPr="00B8105F">
        <w:rPr>
          <w:rFonts w:ascii="Times New Roman" w:hAnsi="Times New Roman" w:cs="Times New Roman"/>
          <w:sz w:val="28"/>
          <w:szCs w:val="28"/>
          <w:lang w:val="ro-RO"/>
        </w:rPr>
        <w:t xml:space="preserve"> în cadrul inspectărilor efectuate </w:t>
      </w:r>
      <w:r w:rsidRPr="00B8105F">
        <w:rPr>
          <w:rFonts w:ascii="Times New Roman" w:hAnsi="Times New Roman" w:cs="Times New Roman"/>
          <w:sz w:val="28"/>
          <w:szCs w:val="28"/>
          <w:lang w:val="ro-RO"/>
        </w:rPr>
        <w:t>şi întreprinde acţiunile de rigoare în limitele competenţei acordate</w:t>
      </w:r>
      <w:r w:rsidR="008409DB" w:rsidRPr="00B8105F">
        <w:rPr>
          <w:rFonts w:ascii="Times New Roman" w:hAnsi="Times New Roman" w:cs="Times New Roman"/>
          <w:sz w:val="28"/>
          <w:szCs w:val="28"/>
          <w:lang w:val="ro-RO"/>
        </w:rPr>
        <w:t>,</w:t>
      </w:r>
      <w:r w:rsidRPr="00B8105F">
        <w:rPr>
          <w:rFonts w:ascii="Times New Roman" w:hAnsi="Times New Roman" w:cs="Times New Roman"/>
          <w:sz w:val="28"/>
          <w:szCs w:val="28"/>
          <w:lang w:val="ro-RO"/>
        </w:rPr>
        <w:t xml:space="preserve"> în scopul lichidării încălcărilor constatate, reparări</w:t>
      </w:r>
      <w:r w:rsidR="00BA5645">
        <w:rPr>
          <w:rFonts w:ascii="Times New Roman" w:hAnsi="Times New Roman" w:cs="Times New Roman"/>
          <w:sz w:val="28"/>
          <w:szCs w:val="28"/>
          <w:lang w:val="ro-RO"/>
        </w:rPr>
        <w:t>i prejudiciului cauzat</w:t>
      </w:r>
      <w:r w:rsidRPr="00B8105F">
        <w:rPr>
          <w:rFonts w:ascii="Times New Roman" w:hAnsi="Times New Roman" w:cs="Times New Roman"/>
          <w:sz w:val="28"/>
          <w:szCs w:val="28"/>
          <w:lang w:val="ro-RO"/>
        </w:rPr>
        <w:t xml:space="preserve"> statului şi tragerii la răspundere a persoanelor vinovate.</w:t>
      </w:r>
    </w:p>
    <w:p w:rsid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p>
    <w:p w:rsid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b/>
          <w:sz w:val="28"/>
          <w:szCs w:val="28"/>
          <w:lang w:val="en-US"/>
        </w:rPr>
      </w:pPr>
      <w:r w:rsidRPr="00FD29A2">
        <w:rPr>
          <w:rFonts w:ascii="Times New Roman" w:hAnsi="Times New Roman" w:cs="Times New Roman"/>
          <w:b/>
          <w:sz w:val="28"/>
          <w:szCs w:val="28"/>
          <w:lang w:val="ro-RO"/>
        </w:rPr>
        <w:t>Principale provocări și priorități ale Inspecț</w:t>
      </w:r>
      <w:r w:rsidR="00D53A54">
        <w:rPr>
          <w:rFonts w:ascii="Times New Roman" w:hAnsi="Times New Roman" w:cs="Times New Roman"/>
          <w:b/>
          <w:sz w:val="28"/>
          <w:szCs w:val="28"/>
          <w:lang w:val="ro-RO"/>
        </w:rPr>
        <w:t>iei Financiare pentru anul 2018</w:t>
      </w:r>
      <w:r w:rsidRPr="00FD29A2">
        <w:rPr>
          <w:rFonts w:ascii="Times New Roman" w:hAnsi="Times New Roman" w:cs="Times New Roman"/>
          <w:b/>
          <w:sz w:val="28"/>
          <w:szCs w:val="28"/>
          <w:lang w:val="en-US"/>
        </w:rPr>
        <w:t>:</w:t>
      </w:r>
    </w:p>
    <w:p w:rsid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color w:val="000000" w:themeColor="text1"/>
          <w:sz w:val="28"/>
          <w:szCs w:val="28"/>
          <w:lang w:val="ro-MO"/>
        </w:rPr>
      </w:pPr>
      <w:r>
        <w:rPr>
          <w:rFonts w:ascii="Times New Roman" w:hAnsi="Times New Roman" w:cs="Times New Roman"/>
          <w:b/>
          <w:sz w:val="28"/>
          <w:szCs w:val="28"/>
          <w:lang w:val="en-US"/>
        </w:rPr>
        <w:t>-</w:t>
      </w:r>
      <w:r w:rsidRPr="00FD29A2">
        <w:rPr>
          <w:b/>
          <w:color w:val="000000" w:themeColor="text1"/>
          <w:sz w:val="20"/>
          <w:szCs w:val="20"/>
          <w:lang w:val="ro-MO"/>
        </w:rPr>
        <w:t xml:space="preserve"> </w:t>
      </w:r>
      <w:r>
        <w:rPr>
          <w:b/>
          <w:color w:val="000000" w:themeColor="text1"/>
          <w:sz w:val="20"/>
          <w:szCs w:val="20"/>
          <w:lang w:val="ro-MO"/>
        </w:rPr>
        <w:t xml:space="preserve"> </w:t>
      </w:r>
      <w:proofErr w:type="gramStart"/>
      <w:r w:rsidR="00D53A54">
        <w:rPr>
          <w:rFonts w:ascii="Times New Roman" w:hAnsi="Times New Roman" w:cs="Times New Roman"/>
          <w:color w:val="000000" w:themeColor="text1"/>
          <w:sz w:val="28"/>
          <w:szCs w:val="28"/>
          <w:lang w:val="ro-MO"/>
        </w:rPr>
        <w:t>aprofundarea</w:t>
      </w:r>
      <w:proofErr w:type="gramEnd"/>
      <w:r w:rsidRPr="00FD29A2">
        <w:rPr>
          <w:rFonts w:ascii="Times New Roman" w:hAnsi="Times New Roman" w:cs="Times New Roman"/>
          <w:color w:val="000000" w:themeColor="text1"/>
          <w:sz w:val="28"/>
          <w:szCs w:val="28"/>
          <w:lang w:val="ro-MO"/>
        </w:rPr>
        <w:t xml:space="preserve"> proceselor de inspectare financiară pentru asigurarea u</w:t>
      </w:r>
      <w:r w:rsidR="00D53A54">
        <w:rPr>
          <w:rFonts w:ascii="Times New Roman" w:hAnsi="Times New Roman" w:cs="Times New Roman"/>
          <w:color w:val="000000" w:themeColor="text1"/>
          <w:sz w:val="28"/>
          <w:szCs w:val="28"/>
          <w:lang w:val="ro-MO"/>
        </w:rPr>
        <w:t xml:space="preserve">tilizării economice </w:t>
      </w:r>
      <w:r w:rsidRPr="00FD29A2">
        <w:rPr>
          <w:rFonts w:ascii="Times New Roman" w:hAnsi="Times New Roman" w:cs="Times New Roman"/>
          <w:color w:val="000000" w:themeColor="text1"/>
          <w:sz w:val="28"/>
          <w:szCs w:val="28"/>
          <w:lang w:val="ro-MO"/>
        </w:rPr>
        <w:t>eficiente a banilor publici</w:t>
      </w:r>
      <w:r>
        <w:rPr>
          <w:rFonts w:ascii="Times New Roman" w:hAnsi="Times New Roman" w:cs="Times New Roman"/>
          <w:color w:val="000000" w:themeColor="text1"/>
          <w:sz w:val="28"/>
          <w:szCs w:val="28"/>
          <w:lang w:val="ro-MO"/>
        </w:rPr>
        <w:t>;</w:t>
      </w:r>
    </w:p>
    <w:p w:rsidR="00FD29A2" w:rsidRP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color w:val="000000" w:themeColor="text1"/>
          <w:sz w:val="28"/>
          <w:szCs w:val="28"/>
          <w:lang w:val="ro-MO"/>
        </w:rPr>
      </w:pPr>
      <w:r w:rsidRPr="00FD29A2">
        <w:rPr>
          <w:rFonts w:ascii="Times New Roman" w:hAnsi="Times New Roman" w:cs="Times New Roman"/>
          <w:color w:val="000000" w:themeColor="text1"/>
          <w:sz w:val="28"/>
          <w:szCs w:val="28"/>
          <w:lang w:val="ro-MO"/>
        </w:rPr>
        <w:t xml:space="preserve">- </w:t>
      </w:r>
      <w:r>
        <w:rPr>
          <w:rFonts w:ascii="Times New Roman" w:hAnsi="Times New Roman" w:cs="Times New Roman"/>
          <w:color w:val="000000" w:themeColor="text1"/>
          <w:sz w:val="28"/>
          <w:szCs w:val="28"/>
          <w:lang w:val="ro-MO"/>
        </w:rPr>
        <w:t>î</w:t>
      </w:r>
      <w:r w:rsidRPr="00FD29A2">
        <w:rPr>
          <w:rFonts w:ascii="Times New Roman" w:hAnsi="Times New Roman" w:cs="Times New Roman"/>
          <w:color w:val="000000" w:themeColor="text1"/>
          <w:sz w:val="28"/>
          <w:szCs w:val="28"/>
          <w:lang w:val="ro-MO"/>
        </w:rPr>
        <w:t>mbunătăţirea comunicării externe pentru a asigura tragerea la răspundere a persoanelor responsabile;</w:t>
      </w:r>
    </w:p>
    <w:p w:rsidR="00FD29A2" w:rsidRP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color w:val="000000" w:themeColor="text1"/>
          <w:sz w:val="28"/>
          <w:szCs w:val="28"/>
          <w:lang w:val="ro-MO"/>
        </w:rPr>
      </w:pPr>
      <w:r w:rsidRPr="00FD29A2">
        <w:rPr>
          <w:rFonts w:ascii="Times New Roman" w:hAnsi="Times New Roman" w:cs="Times New Roman"/>
          <w:color w:val="000000" w:themeColor="text1"/>
          <w:sz w:val="28"/>
          <w:szCs w:val="28"/>
          <w:lang w:val="ro-MO"/>
        </w:rPr>
        <w:t xml:space="preserve">- </w:t>
      </w:r>
      <w:r>
        <w:rPr>
          <w:rFonts w:ascii="Times New Roman" w:hAnsi="Times New Roman" w:cs="Times New Roman"/>
          <w:color w:val="000000" w:themeColor="text1"/>
          <w:sz w:val="28"/>
          <w:szCs w:val="28"/>
          <w:lang w:val="ro-MO"/>
        </w:rPr>
        <w:t>i</w:t>
      </w:r>
      <w:r w:rsidRPr="00FD29A2">
        <w:rPr>
          <w:rFonts w:ascii="Times New Roman" w:hAnsi="Times New Roman" w:cs="Times New Roman"/>
          <w:color w:val="000000" w:themeColor="text1"/>
          <w:sz w:val="28"/>
          <w:szCs w:val="28"/>
          <w:lang w:val="ro-MO"/>
        </w:rPr>
        <w:t>ntensificarea controlului asupra gestionării resurselor financiare, inclusiv externe;</w:t>
      </w:r>
    </w:p>
    <w:p w:rsidR="00FD29A2" w:rsidRP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color w:val="000000" w:themeColor="text1"/>
          <w:sz w:val="28"/>
          <w:szCs w:val="28"/>
          <w:lang w:val="ro-MO"/>
        </w:rPr>
      </w:pPr>
      <w:r w:rsidRPr="00FD29A2">
        <w:rPr>
          <w:rFonts w:ascii="Times New Roman" w:hAnsi="Times New Roman" w:cs="Times New Roman"/>
          <w:color w:val="000000" w:themeColor="text1"/>
          <w:sz w:val="28"/>
          <w:szCs w:val="28"/>
          <w:lang w:val="ro-MO"/>
        </w:rPr>
        <w:t xml:space="preserve">- </w:t>
      </w:r>
      <w:r>
        <w:rPr>
          <w:rFonts w:ascii="Times New Roman" w:hAnsi="Times New Roman" w:cs="Times New Roman"/>
          <w:color w:val="000000" w:themeColor="text1"/>
          <w:sz w:val="28"/>
          <w:szCs w:val="28"/>
          <w:lang w:val="ro-MO"/>
        </w:rPr>
        <w:t>a</w:t>
      </w:r>
      <w:r w:rsidRPr="00FD29A2">
        <w:rPr>
          <w:rFonts w:ascii="Times New Roman" w:hAnsi="Times New Roman" w:cs="Times New Roman"/>
          <w:color w:val="000000" w:themeColor="text1"/>
          <w:sz w:val="28"/>
          <w:szCs w:val="28"/>
          <w:lang w:val="ro-MO"/>
        </w:rPr>
        <w:t>profundarea cunoştinţelor specifice activităţii de inspectare;</w:t>
      </w:r>
    </w:p>
    <w:p w:rsidR="00FD29A2" w:rsidRP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color w:val="000000" w:themeColor="text1"/>
          <w:sz w:val="28"/>
          <w:szCs w:val="28"/>
          <w:lang w:val="ro-MO"/>
        </w:rPr>
      </w:pPr>
      <w:r w:rsidRPr="00FD29A2">
        <w:rPr>
          <w:rFonts w:ascii="Times New Roman" w:hAnsi="Times New Roman" w:cs="Times New Roman"/>
          <w:color w:val="000000" w:themeColor="text1"/>
          <w:sz w:val="28"/>
          <w:szCs w:val="28"/>
          <w:lang w:val="ro-MO"/>
        </w:rPr>
        <w:t xml:space="preserve">- </w:t>
      </w:r>
      <w:r>
        <w:rPr>
          <w:rFonts w:ascii="Times New Roman" w:hAnsi="Times New Roman" w:cs="Times New Roman"/>
          <w:color w:val="000000" w:themeColor="text1"/>
          <w:sz w:val="28"/>
          <w:szCs w:val="28"/>
          <w:lang w:val="ro-MO"/>
        </w:rPr>
        <w:t>m</w:t>
      </w:r>
      <w:r w:rsidRPr="00FD29A2">
        <w:rPr>
          <w:rFonts w:ascii="Times New Roman" w:hAnsi="Times New Roman" w:cs="Times New Roman"/>
          <w:color w:val="000000" w:themeColor="text1"/>
          <w:sz w:val="28"/>
          <w:szCs w:val="28"/>
          <w:lang w:val="ro-MO"/>
        </w:rPr>
        <w:t>odernizarea procedurilor, practicilor şi metodelor de inspectare financiară;</w:t>
      </w:r>
    </w:p>
    <w:p w:rsidR="00FD29A2" w:rsidRPr="00FD29A2" w:rsidRDefault="00FD29A2"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sz w:val="28"/>
          <w:szCs w:val="28"/>
          <w:lang w:val="ro-RO"/>
        </w:rPr>
      </w:pPr>
      <w:r w:rsidRPr="00FD29A2">
        <w:rPr>
          <w:rFonts w:ascii="Times New Roman" w:hAnsi="Times New Roman" w:cs="Times New Roman"/>
          <w:color w:val="000000" w:themeColor="text1"/>
          <w:sz w:val="28"/>
          <w:szCs w:val="28"/>
          <w:lang w:val="ro-RO"/>
        </w:rPr>
        <w:t>-</w:t>
      </w:r>
      <w:r>
        <w:rPr>
          <w:rFonts w:ascii="Times New Roman" w:hAnsi="Times New Roman" w:cs="Times New Roman"/>
          <w:color w:val="000000" w:themeColor="text1"/>
          <w:sz w:val="28"/>
          <w:szCs w:val="28"/>
          <w:lang w:val="ro-RO"/>
        </w:rPr>
        <w:t xml:space="preserve"> </w:t>
      </w:r>
      <w:r w:rsidRPr="00FD29A2">
        <w:rPr>
          <w:rFonts w:ascii="Times New Roman" w:hAnsi="Times New Roman" w:cs="Times New Roman"/>
          <w:color w:val="000000" w:themeColor="text1"/>
          <w:sz w:val="28"/>
          <w:szCs w:val="28"/>
          <w:lang w:val="ro-RO"/>
        </w:rPr>
        <w:t xml:space="preserve">consolidarea capacităților analitice </w:t>
      </w:r>
      <w:r w:rsidR="00073DF9" w:rsidRPr="00FD29A2">
        <w:rPr>
          <w:rFonts w:ascii="Times New Roman" w:hAnsi="Times New Roman" w:cs="Times New Roman"/>
          <w:color w:val="000000" w:themeColor="text1"/>
          <w:sz w:val="28"/>
          <w:szCs w:val="28"/>
          <w:lang w:val="ro-RO"/>
        </w:rPr>
        <w:t xml:space="preserve">ale Inspecției Financiare </w:t>
      </w:r>
      <w:r w:rsidRPr="00FD29A2">
        <w:rPr>
          <w:rFonts w:ascii="Times New Roman" w:hAnsi="Times New Roman" w:cs="Times New Roman"/>
          <w:color w:val="000000" w:themeColor="text1"/>
          <w:sz w:val="28"/>
          <w:szCs w:val="28"/>
          <w:lang w:val="ro-RO"/>
        </w:rPr>
        <w:t>prin dezvoltarea</w:t>
      </w:r>
      <w:r w:rsidR="00073DF9">
        <w:rPr>
          <w:rFonts w:ascii="Times New Roman" w:hAnsi="Times New Roman" w:cs="Times New Roman"/>
          <w:color w:val="000000" w:themeColor="text1"/>
          <w:sz w:val="28"/>
          <w:szCs w:val="28"/>
          <w:lang w:val="ro-RO"/>
        </w:rPr>
        <w:t xml:space="preserve"> bazelor de date și instrumentelor de analiză </w:t>
      </w:r>
      <w:r w:rsidR="006C1F16">
        <w:rPr>
          <w:rFonts w:ascii="Times New Roman" w:hAnsi="Times New Roman" w:cs="Times New Roman"/>
          <w:color w:val="000000" w:themeColor="text1"/>
          <w:sz w:val="28"/>
          <w:szCs w:val="28"/>
          <w:lang w:val="ro-RO"/>
        </w:rPr>
        <w:t xml:space="preserve">financiară </w:t>
      </w:r>
      <w:r w:rsidR="00073DF9">
        <w:rPr>
          <w:rFonts w:ascii="Times New Roman" w:hAnsi="Times New Roman" w:cs="Times New Roman"/>
          <w:color w:val="000000" w:themeColor="text1"/>
          <w:sz w:val="28"/>
          <w:szCs w:val="28"/>
          <w:lang w:val="ro-RO"/>
        </w:rPr>
        <w:t xml:space="preserve">a </w:t>
      </w:r>
      <w:r w:rsidR="006C1F16">
        <w:rPr>
          <w:rFonts w:ascii="Times New Roman" w:hAnsi="Times New Roman" w:cs="Times New Roman"/>
          <w:color w:val="000000" w:themeColor="text1"/>
          <w:sz w:val="28"/>
          <w:szCs w:val="28"/>
          <w:lang w:val="ro-RO"/>
        </w:rPr>
        <w:t>entităților publice supuse inspectărilor.</w:t>
      </w:r>
    </w:p>
    <w:p w:rsidR="0076585B" w:rsidRPr="00B8105F" w:rsidRDefault="0076585B"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sz w:val="28"/>
          <w:szCs w:val="28"/>
          <w:lang w:val="ro-RO"/>
        </w:rPr>
      </w:pPr>
    </w:p>
    <w:p w:rsidR="0076585B" w:rsidRPr="00B8105F" w:rsidRDefault="0076585B" w:rsidP="00B81ACE">
      <w:pPr>
        <w:shd w:val="clear" w:color="auto" w:fill="FFFFFF"/>
        <w:autoSpaceDE w:val="0"/>
        <w:autoSpaceDN w:val="0"/>
        <w:adjustRightInd w:val="0"/>
        <w:spacing w:line="360" w:lineRule="auto"/>
        <w:ind w:right="-1" w:firstLine="567"/>
        <w:contextualSpacing/>
        <w:jc w:val="both"/>
        <w:rPr>
          <w:rFonts w:ascii="Times New Roman" w:hAnsi="Times New Roman" w:cs="Times New Roman"/>
          <w:sz w:val="28"/>
          <w:szCs w:val="28"/>
          <w:lang w:val="ro-RO"/>
        </w:rPr>
      </w:pPr>
    </w:p>
    <w:p w:rsidR="0076585B" w:rsidRPr="0076585B" w:rsidRDefault="00073DF9" w:rsidP="00073DF9">
      <w:pPr>
        <w:shd w:val="clear" w:color="auto" w:fill="FFFFFF"/>
        <w:autoSpaceDE w:val="0"/>
        <w:autoSpaceDN w:val="0"/>
        <w:adjustRightInd w:val="0"/>
        <w:spacing w:line="360" w:lineRule="auto"/>
        <w:ind w:right="-1"/>
        <w:contextualSpacing/>
        <w:jc w:val="both"/>
        <w:rPr>
          <w:rFonts w:ascii="Times New Roman" w:hAnsi="Times New Roman" w:cs="Times New Roman"/>
          <w:b/>
          <w:sz w:val="28"/>
          <w:szCs w:val="28"/>
          <w:lang w:val="ro-RO"/>
        </w:rPr>
      </w:pPr>
      <w:r>
        <w:rPr>
          <w:rFonts w:ascii="Times New Roman" w:hAnsi="Times New Roman" w:cs="Times New Roman"/>
          <w:b/>
          <w:sz w:val="28"/>
          <w:szCs w:val="28"/>
          <w:lang w:val="ro-RO"/>
        </w:rPr>
        <w:t xml:space="preserve">      </w:t>
      </w:r>
      <w:r w:rsidR="003F49D1">
        <w:rPr>
          <w:rFonts w:ascii="Times New Roman" w:hAnsi="Times New Roman" w:cs="Times New Roman"/>
          <w:b/>
          <w:sz w:val="28"/>
          <w:szCs w:val="28"/>
          <w:lang w:val="ro-RO"/>
        </w:rPr>
        <w:t xml:space="preserve">     </w:t>
      </w:r>
      <w:r w:rsidR="0076585B">
        <w:rPr>
          <w:rFonts w:ascii="Times New Roman" w:hAnsi="Times New Roman" w:cs="Times New Roman"/>
          <w:b/>
          <w:sz w:val="28"/>
          <w:szCs w:val="28"/>
          <w:lang w:val="ro-RO"/>
        </w:rPr>
        <w:t xml:space="preserve"> </w:t>
      </w:r>
      <w:r w:rsidR="0076585B" w:rsidRPr="0076585B">
        <w:rPr>
          <w:rFonts w:ascii="Times New Roman" w:hAnsi="Times New Roman" w:cs="Times New Roman"/>
          <w:b/>
          <w:sz w:val="28"/>
          <w:szCs w:val="28"/>
          <w:lang w:val="ro-RO"/>
        </w:rPr>
        <w:t>Inspecția Financiară</w:t>
      </w:r>
    </w:p>
    <w:p w:rsidR="003C719A" w:rsidRPr="00DC1100" w:rsidRDefault="003C719A">
      <w:pPr>
        <w:rPr>
          <w:lang w:val="ro-RO"/>
        </w:rPr>
      </w:pPr>
    </w:p>
    <w:sectPr w:rsidR="003C719A" w:rsidRPr="00DC1100" w:rsidSect="007926B0">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A54" w:rsidRDefault="00D53A54" w:rsidP="00495BAA">
      <w:pPr>
        <w:spacing w:after="0" w:line="240" w:lineRule="auto"/>
      </w:pPr>
      <w:r>
        <w:separator/>
      </w:r>
    </w:p>
  </w:endnote>
  <w:endnote w:type="continuationSeparator" w:id="0">
    <w:p w:rsidR="00D53A54" w:rsidRDefault="00D53A54" w:rsidP="00495B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A54" w:rsidRDefault="00D53A54" w:rsidP="00495BAA">
      <w:pPr>
        <w:spacing w:after="0" w:line="240" w:lineRule="auto"/>
      </w:pPr>
      <w:r>
        <w:separator/>
      </w:r>
    </w:p>
  </w:footnote>
  <w:footnote w:type="continuationSeparator" w:id="0">
    <w:p w:rsidR="00D53A54" w:rsidRDefault="00D53A54" w:rsidP="00495BA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B81ACE"/>
    <w:rsid w:val="000101EC"/>
    <w:rsid w:val="00037A52"/>
    <w:rsid w:val="00044A21"/>
    <w:rsid w:val="00073DF9"/>
    <w:rsid w:val="00087D94"/>
    <w:rsid w:val="000918B8"/>
    <w:rsid w:val="000C640D"/>
    <w:rsid w:val="000D2643"/>
    <w:rsid w:val="000E2E15"/>
    <w:rsid w:val="00166D99"/>
    <w:rsid w:val="001A44B3"/>
    <w:rsid w:val="001A7A8B"/>
    <w:rsid w:val="001F4E3B"/>
    <w:rsid w:val="00223B2C"/>
    <w:rsid w:val="002325C1"/>
    <w:rsid w:val="00240E4B"/>
    <w:rsid w:val="00242CA1"/>
    <w:rsid w:val="00254209"/>
    <w:rsid w:val="002709D2"/>
    <w:rsid w:val="00292102"/>
    <w:rsid w:val="002C72AC"/>
    <w:rsid w:val="002E19D8"/>
    <w:rsid w:val="002F5B2F"/>
    <w:rsid w:val="003C719A"/>
    <w:rsid w:val="003D7053"/>
    <w:rsid w:val="003E7F20"/>
    <w:rsid w:val="003F05CA"/>
    <w:rsid w:val="003F49D1"/>
    <w:rsid w:val="00423B54"/>
    <w:rsid w:val="004254C1"/>
    <w:rsid w:val="004277D4"/>
    <w:rsid w:val="00440ED3"/>
    <w:rsid w:val="004455D4"/>
    <w:rsid w:val="004655C3"/>
    <w:rsid w:val="00477721"/>
    <w:rsid w:val="004846A3"/>
    <w:rsid w:val="00495BAA"/>
    <w:rsid w:val="004B01FA"/>
    <w:rsid w:val="004F582D"/>
    <w:rsid w:val="0056663D"/>
    <w:rsid w:val="005840FD"/>
    <w:rsid w:val="005A1EE7"/>
    <w:rsid w:val="005A5F44"/>
    <w:rsid w:val="005D26C2"/>
    <w:rsid w:val="005F0C35"/>
    <w:rsid w:val="0062171E"/>
    <w:rsid w:val="006734A1"/>
    <w:rsid w:val="00692B8A"/>
    <w:rsid w:val="006A119C"/>
    <w:rsid w:val="006B3680"/>
    <w:rsid w:val="006B764A"/>
    <w:rsid w:val="006C1F16"/>
    <w:rsid w:val="006E2A96"/>
    <w:rsid w:val="006F2392"/>
    <w:rsid w:val="007064ED"/>
    <w:rsid w:val="007302E9"/>
    <w:rsid w:val="0076336D"/>
    <w:rsid w:val="0076585B"/>
    <w:rsid w:val="00780460"/>
    <w:rsid w:val="00790E95"/>
    <w:rsid w:val="007926B0"/>
    <w:rsid w:val="007B33A3"/>
    <w:rsid w:val="008219B7"/>
    <w:rsid w:val="008409DB"/>
    <w:rsid w:val="008563C7"/>
    <w:rsid w:val="008600C8"/>
    <w:rsid w:val="00867CE2"/>
    <w:rsid w:val="008727DB"/>
    <w:rsid w:val="0088740B"/>
    <w:rsid w:val="008B24A9"/>
    <w:rsid w:val="008C6CC0"/>
    <w:rsid w:val="008D575D"/>
    <w:rsid w:val="008E7E3A"/>
    <w:rsid w:val="008F3B38"/>
    <w:rsid w:val="00910019"/>
    <w:rsid w:val="0095667F"/>
    <w:rsid w:val="0097308C"/>
    <w:rsid w:val="009A56BE"/>
    <w:rsid w:val="009C2CCD"/>
    <w:rsid w:val="009E79D1"/>
    <w:rsid w:val="00A249BC"/>
    <w:rsid w:val="00A41F11"/>
    <w:rsid w:val="00A55974"/>
    <w:rsid w:val="00A7088A"/>
    <w:rsid w:val="00A97920"/>
    <w:rsid w:val="00AD3524"/>
    <w:rsid w:val="00AF40E7"/>
    <w:rsid w:val="00AF7343"/>
    <w:rsid w:val="00B1474D"/>
    <w:rsid w:val="00B2694C"/>
    <w:rsid w:val="00B74578"/>
    <w:rsid w:val="00B77C7C"/>
    <w:rsid w:val="00B8105F"/>
    <w:rsid w:val="00B81ACE"/>
    <w:rsid w:val="00B91672"/>
    <w:rsid w:val="00B9243F"/>
    <w:rsid w:val="00BA5645"/>
    <w:rsid w:val="00BC1FF7"/>
    <w:rsid w:val="00BE14FA"/>
    <w:rsid w:val="00C025B6"/>
    <w:rsid w:val="00C048C6"/>
    <w:rsid w:val="00C0601A"/>
    <w:rsid w:val="00C26D92"/>
    <w:rsid w:val="00C50A0F"/>
    <w:rsid w:val="00C512A8"/>
    <w:rsid w:val="00C66CA4"/>
    <w:rsid w:val="00C83B89"/>
    <w:rsid w:val="00CB0D7C"/>
    <w:rsid w:val="00CC428D"/>
    <w:rsid w:val="00CF1227"/>
    <w:rsid w:val="00D111BC"/>
    <w:rsid w:val="00D53A54"/>
    <w:rsid w:val="00D6026F"/>
    <w:rsid w:val="00D6267F"/>
    <w:rsid w:val="00D671CB"/>
    <w:rsid w:val="00D82D24"/>
    <w:rsid w:val="00D9467C"/>
    <w:rsid w:val="00DB2245"/>
    <w:rsid w:val="00DC0CDD"/>
    <w:rsid w:val="00DC1100"/>
    <w:rsid w:val="00DE3397"/>
    <w:rsid w:val="00DF1E25"/>
    <w:rsid w:val="00E1422F"/>
    <w:rsid w:val="00E26694"/>
    <w:rsid w:val="00E55109"/>
    <w:rsid w:val="00E701C3"/>
    <w:rsid w:val="00E86096"/>
    <w:rsid w:val="00EA6AD8"/>
    <w:rsid w:val="00EB0141"/>
    <w:rsid w:val="00EC0176"/>
    <w:rsid w:val="00EF4F26"/>
    <w:rsid w:val="00F11D97"/>
    <w:rsid w:val="00F138F4"/>
    <w:rsid w:val="00F42D76"/>
    <w:rsid w:val="00F51D16"/>
    <w:rsid w:val="00FA6FFF"/>
    <w:rsid w:val="00FB1023"/>
    <w:rsid w:val="00FB544D"/>
    <w:rsid w:val="00FB6CD0"/>
    <w:rsid w:val="00FD29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ffc000"/>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ACE"/>
    <w:rPr>
      <w:rFonts w:eastAsiaTheme="minorEastAsia"/>
      <w:lang w:eastAsia="ru-RU"/>
    </w:rPr>
  </w:style>
  <w:style w:type="paragraph" w:styleId="1">
    <w:name w:val="heading 1"/>
    <w:basedOn w:val="a"/>
    <w:next w:val="a"/>
    <w:link w:val="10"/>
    <w:uiPriority w:val="9"/>
    <w:qFormat/>
    <w:rsid w:val="00EA6A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6AD8"/>
    <w:rPr>
      <w:rFonts w:asciiTheme="majorHAnsi" w:eastAsiaTheme="majorEastAsia" w:hAnsiTheme="majorHAnsi" w:cstheme="majorBidi"/>
      <w:b/>
      <w:bCs/>
      <w:color w:val="365F91" w:themeColor="accent1" w:themeShade="BF"/>
      <w:sz w:val="28"/>
      <w:szCs w:val="28"/>
      <w:lang w:eastAsia="ru-RU"/>
    </w:rPr>
  </w:style>
  <w:style w:type="paragraph" w:styleId="a3">
    <w:name w:val="header"/>
    <w:basedOn w:val="a"/>
    <w:link w:val="a4"/>
    <w:uiPriority w:val="99"/>
    <w:semiHidden/>
    <w:unhideWhenUsed/>
    <w:rsid w:val="00495BAA"/>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495BAA"/>
    <w:rPr>
      <w:rFonts w:eastAsiaTheme="minorEastAsia"/>
      <w:lang w:eastAsia="ru-RU"/>
    </w:rPr>
  </w:style>
  <w:style w:type="paragraph" w:styleId="a5">
    <w:name w:val="footer"/>
    <w:basedOn w:val="a"/>
    <w:link w:val="a6"/>
    <w:uiPriority w:val="99"/>
    <w:semiHidden/>
    <w:unhideWhenUsed/>
    <w:rsid w:val="00495BA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95BAA"/>
    <w:rPr>
      <w:rFonts w:eastAsiaTheme="minorEastAsia"/>
      <w:lang w:eastAsia="ru-RU"/>
    </w:rPr>
  </w:style>
  <w:style w:type="paragraph" w:styleId="a7">
    <w:name w:val="Balloon Text"/>
    <w:basedOn w:val="a"/>
    <w:link w:val="a8"/>
    <w:uiPriority w:val="99"/>
    <w:semiHidden/>
    <w:unhideWhenUsed/>
    <w:rsid w:val="00D626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6267F"/>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en-US"/>
              <a:t>Inspect</a:t>
            </a:r>
            <a:r>
              <a:rPr lang="ro-RO"/>
              <a:t>ări</a:t>
            </a:r>
            <a:r>
              <a:rPr lang="ro-RO" baseline="0"/>
              <a:t> financiare pe parcursul anului 2017 </a:t>
            </a:r>
            <a:endParaRPr lang="ru-RU"/>
          </a:p>
        </c:rich>
      </c:tx>
      <c:layout/>
    </c:title>
    <c:view3D>
      <c:rotX val="75"/>
      <c:perspective val="30"/>
    </c:view3D>
    <c:plotArea>
      <c:layout/>
      <c:pie3DChart>
        <c:varyColors val="1"/>
        <c:ser>
          <c:idx val="0"/>
          <c:order val="0"/>
          <c:tx>
            <c:strRef>
              <c:f>Лист1!$B$1</c:f>
              <c:strCache>
                <c:ptCount val="1"/>
                <c:pt idx="0">
                  <c:v>Продажи</c:v>
                </c:pt>
              </c:strCache>
            </c:strRef>
          </c:tx>
          <c:explosion val="25"/>
          <c:dLbls>
            <c:dLbl>
              <c:idx val="0"/>
              <c:layout/>
              <c:tx>
                <c:rich>
                  <a:bodyPr/>
                  <a:lstStyle/>
                  <a:p>
                    <a:r>
                      <a:rPr lang="vi-VN"/>
                      <a:t>Inspectări financiare complexe</a:t>
                    </a:r>
                    <a:r>
                      <a:rPr lang="ro-RO"/>
                      <a:t>  (</a:t>
                    </a:r>
                    <a:r>
                      <a:rPr lang="ro-RO" b="1"/>
                      <a:t>275</a:t>
                    </a:r>
                    <a:r>
                      <a:rPr lang="ro-RO"/>
                      <a:t>)</a:t>
                    </a:r>
                    <a:endParaRPr lang="vi-VN"/>
                  </a:p>
                </c:rich>
              </c:tx>
              <c:showCatName val="1"/>
            </c:dLbl>
            <c:dLbl>
              <c:idx val="1"/>
              <c:layout/>
              <c:tx>
                <c:rich>
                  <a:bodyPr/>
                  <a:lstStyle/>
                  <a:p>
                    <a:r>
                      <a:rPr lang="vi-VN"/>
                      <a:t>Inspectări financiare tematice</a:t>
                    </a:r>
                    <a:r>
                      <a:rPr lang="ro-RO" b="0" baseline="0"/>
                      <a:t> (</a:t>
                    </a:r>
                    <a:r>
                      <a:rPr lang="ro-RO" b="1" baseline="0"/>
                      <a:t>1135</a:t>
                    </a:r>
                    <a:r>
                      <a:rPr lang="ro-RO" baseline="0"/>
                      <a:t>)</a:t>
                    </a:r>
                    <a:endParaRPr lang="vi-VN"/>
                  </a:p>
                </c:rich>
              </c:tx>
              <c:showCatName val="1"/>
            </c:dLbl>
            <c:showCatName val="1"/>
            <c:showLeaderLines val="1"/>
          </c:dLbls>
          <c:cat>
            <c:strRef>
              <c:f>Лист1!$A$2:$A$5</c:f>
              <c:strCache>
                <c:ptCount val="2"/>
                <c:pt idx="0">
                  <c:v>Inspectări financiare complexe</c:v>
                </c:pt>
                <c:pt idx="1">
                  <c:v>Inspectări financiare tematice</c:v>
                </c:pt>
              </c:strCache>
            </c:strRef>
          </c:cat>
          <c:val>
            <c:numRef>
              <c:f>Лист1!$B$2:$B$5</c:f>
              <c:numCache>
                <c:formatCode>General</c:formatCode>
                <c:ptCount val="4"/>
                <c:pt idx="0">
                  <c:v>275</c:v>
                </c:pt>
                <c:pt idx="1">
                  <c:v>1135</c:v>
                </c:pt>
                <c:pt idx="3">
                  <c:v>1.2</c:v>
                </c:pt>
              </c:numCache>
            </c:numRef>
          </c:val>
        </c:ser>
        <c:dLbls>
          <c:showCatName val="1"/>
        </c:dLbls>
      </c:pie3D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dLbls>
            <c:dLbl>
              <c:idx val="0"/>
              <c:layout/>
              <c:tx>
                <c:rich>
                  <a:bodyPr/>
                  <a:lstStyle/>
                  <a:p>
                    <a:r>
                      <a:rPr lang="vi-VN">
                        <a:latin typeface="Times New Roman" pitchFamily="18" charset="0"/>
                        <a:cs typeface="Times New Roman" pitchFamily="18" charset="0"/>
                      </a:rPr>
                      <a:t>Unități Administrativ  Teritoriale de nivelul I și II </a:t>
                    </a:r>
                    <a:r>
                      <a:rPr lang="ro-RO">
                        <a:latin typeface="Times New Roman" pitchFamily="18" charset="0"/>
                        <a:cs typeface="Times New Roman" pitchFamily="18" charset="0"/>
                      </a:rPr>
                      <a:t>(</a:t>
                    </a:r>
                    <a:r>
                      <a:rPr lang="vi-VN" b="1">
                        <a:latin typeface="Times New Roman" pitchFamily="18" charset="0"/>
                        <a:cs typeface="Times New Roman" pitchFamily="18" charset="0"/>
                      </a:rPr>
                      <a:t>387</a:t>
                    </a:r>
                    <a:r>
                      <a:rPr lang="ro-RO" b="1">
                        <a:latin typeface="Times New Roman" pitchFamily="18" charset="0"/>
                        <a:cs typeface="Times New Roman" pitchFamily="18" charset="0"/>
                      </a:rPr>
                      <a:t>)</a:t>
                    </a:r>
                    <a:endParaRPr lang="vi-VN" b="1">
                      <a:latin typeface="Times New Roman" pitchFamily="18" charset="0"/>
                      <a:cs typeface="Times New Roman" pitchFamily="18" charset="0"/>
                    </a:endParaRPr>
                  </a:p>
                </c:rich>
              </c:tx>
              <c:showVal val="1"/>
              <c:showCatName val="1"/>
            </c:dLbl>
            <c:dLbl>
              <c:idx val="1"/>
              <c:layout/>
              <c:tx>
                <c:rich>
                  <a:bodyPr/>
                  <a:lstStyle/>
                  <a:p>
                    <a:r>
                      <a:rPr lang="en-US">
                        <a:latin typeface="Times New Roman" pitchFamily="18" charset="0"/>
                        <a:cs typeface="Times New Roman" pitchFamily="18" charset="0"/>
                      </a:rPr>
                      <a:t>Î</a:t>
                    </a:r>
                    <a:r>
                      <a:rPr lang="en-US"/>
                      <a:t>ntreprinderi de Stat </a:t>
                    </a:r>
                    <a:r>
                      <a:rPr lang="ro-RO"/>
                      <a:t>(</a:t>
                    </a:r>
                    <a:r>
                      <a:rPr lang="en-US" b="1"/>
                      <a:t>73</a:t>
                    </a:r>
                    <a:r>
                      <a:rPr lang="ro-RO" b="0"/>
                      <a:t>)</a:t>
                    </a:r>
                    <a:endParaRPr lang="en-US" b="0"/>
                  </a:p>
                </c:rich>
              </c:tx>
              <c:showVal val="1"/>
              <c:showCatName val="1"/>
            </c:dLbl>
            <c:dLbl>
              <c:idx val="2"/>
              <c:layout/>
              <c:tx>
                <c:rich>
                  <a:bodyPr/>
                  <a:lstStyle/>
                  <a:p>
                    <a:r>
                      <a:rPr lang="en-US">
                        <a:latin typeface="Times New Roman" pitchFamily="18" charset="0"/>
                        <a:cs typeface="Times New Roman" pitchFamily="18" charset="0"/>
                      </a:rPr>
                      <a:t>Întreprinderi Municipale </a:t>
                    </a:r>
                    <a:r>
                      <a:rPr lang="ro-RO">
                        <a:latin typeface="Times New Roman" pitchFamily="18" charset="0"/>
                        <a:cs typeface="Times New Roman" pitchFamily="18" charset="0"/>
                      </a:rPr>
                      <a:t>(</a:t>
                    </a:r>
                    <a:r>
                      <a:rPr lang="en-US" b="1">
                        <a:latin typeface="Times New Roman" pitchFamily="18" charset="0"/>
                        <a:cs typeface="Times New Roman" pitchFamily="18" charset="0"/>
                      </a:rPr>
                      <a:t>100</a:t>
                    </a:r>
                    <a:r>
                      <a:rPr lang="ro-RO" b="0">
                        <a:latin typeface="Times New Roman" pitchFamily="18" charset="0"/>
                        <a:cs typeface="Times New Roman" pitchFamily="18" charset="0"/>
                      </a:rPr>
                      <a:t>)</a:t>
                    </a:r>
                    <a:endParaRPr lang="en-US" b="0">
                      <a:latin typeface="Times New Roman" pitchFamily="18" charset="0"/>
                      <a:cs typeface="Times New Roman" pitchFamily="18" charset="0"/>
                    </a:endParaRPr>
                  </a:p>
                </c:rich>
              </c:tx>
              <c:showVal val="1"/>
              <c:showCatName val="1"/>
            </c:dLbl>
            <c:dLbl>
              <c:idx val="3"/>
              <c:layout/>
              <c:tx>
                <c:rich>
                  <a:bodyPr/>
                  <a:lstStyle/>
                  <a:p>
                    <a:r>
                      <a:rPr lang="vi-VN">
                        <a:latin typeface="Times New Roman" pitchFamily="18" charset="0"/>
                        <a:cs typeface="Times New Roman" pitchFamily="18" charset="0"/>
                      </a:rPr>
                      <a:t>Societăți pe Acțiuni(cu capital de stat) </a:t>
                    </a:r>
                    <a:r>
                      <a:rPr lang="ro-RO">
                        <a:latin typeface="Times New Roman" pitchFamily="18" charset="0"/>
                        <a:cs typeface="Times New Roman" pitchFamily="18" charset="0"/>
                      </a:rPr>
                      <a:t>(</a:t>
                    </a:r>
                    <a:r>
                      <a:rPr lang="vi-VN" b="1">
                        <a:latin typeface="Times New Roman" pitchFamily="18" charset="0"/>
                        <a:cs typeface="Times New Roman" pitchFamily="18" charset="0"/>
                      </a:rPr>
                      <a:t>49</a:t>
                    </a:r>
                    <a:r>
                      <a:rPr lang="ro-RO" b="1">
                        <a:latin typeface="Times New Roman" pitchFamily="18" charset="0"/>
                        <a:cs typeface="Times New Roman" pitchFamily="18" charset="0"/>
                      </a:rPr>
                      <a:t>)</a:t>
                    </a:r>
                    <a:endParaRPr lang="vi-VN" b="1">
                      <a:latin typeface="Times New Roman" pitchFamily="18" charset="0"/>
                      <a:cs typeface="Times New Roman" pitchFamily="18" charset="0"/>
                    </a:endParaRPr>
                  </a:p>
                </c:rich>
              </c:tx>
              <c:showVal val="1"/>
              <c:showCatName val="1"/>
            </c:dLbl>
            <c:dLbl>
              <c:idx val="4"/>
              <c:layout>
                <c:manualLayout>
                  <c:x val="0.22015543452243244"/>
                  <c:y val="8.8879734737663363E-2"/>
                </c:manualLayout>
              </c:layout>
              <c:tx>
                <c:rich>
                  <a:bodyPr/>
                  <a:lstStyle/>
                  <a:p>
                    <a:r>
                      <a:rPr lang="vi-VN">
                        <a:latin typeface="Times New Roman" pitchFamily="18" charset="0"/>
                        <a:cs typeface="Times New Roman" pitchFamily="18" charset="0"/>
                      </a:rPr>
                      <a:t>Alte entități</a:t>
                    </a:r>
                    <a:r>
                      <a:rPr lang="ro-RO" baseline="0">
                        <a:latin typeface="Times New Roman" pitchFamily="18" charset="0"/>
                        <a:cs typeface="Times New Roman" pitchFamily="18" charset="0"/>
                      </a:rPr>
                      <a:t> </a:t>
                    </a:r>
                    <a:r>
                      <a:rPr lang="ro-RO" baseline="0"/>
                      <a:t>(</a:t>
                    </a:r>
                    <a:r>
                      <a:rPr lang="vi-VN" b="1"/>
                      <a:t>392</a:t>
                    </a:r>
                    <a:r>
                      <a:rPr lang="ro-RO" b="1"/>
                      <a:t>)</a:t>
                    </a:r>
                    <a:endParaRPr lang="vi-VN" b="1"/>
                  </a:p>
                </c:rich>
              </c:tx>
              <c:showVal val="1"/>
              <c:showCatName val="1"/>
            </c:dLbl>
            <c:txPr>
              <a:bodyPr/>
              <a:lstStyle/>
              <a:p>
                <a:pPr>
                  <a:defRPr>
                    <a:latin typeface="Times New Roman" pitchFamily="18" charset="0"/>
                    <a:cs typeface="Times New Roman" pitchFamily="18" charset="0"/>
                  </a:defRPr>
                </a:pPr>
                <a:endParaRPr lang="ru-RU"/>
              </a:p>
            </c:txPr>
            <c:showVal val="1"/>
            <c:showCatName val="1"/>
            <c:showLeaderLines val="1"/>
          </c:dLbls>
          <c:cat>
            <c:strRef>
              <c:f>Лист1!$A$2:$A$6</c:f>
              <c:strCache>
                <c:ptCount val="5"/>
                <c:pt idx="0">
                  <c:v>Unități Administrativ  Teritoriale de nivelul I și II</c:v>
                </c:pt>
                <c:pt idx="1">
                  <c:v>Întreprinderi de Stat</c:v>
                </c:pt>
                <c:pt idx="2">
                  <c:v>Întreprinderi Municipale</c:v>
                </c:pt>
                <c:pt idx="3">
                  <c:v>Societăți pe Acțiuni(cu capital de stat)</c:v>
                </c:pt>
                <c:pt idx="4">
                  <c:v>Alte entități</c:v>
                </c:pt>
              </c:strCache>
            </c:strRef>
          </c:cat>
          <c:val>
            <c:numRef>
              <c:f>Лист1!$B$2:$B$6</c:f>
              <c:numCache>
                <c:formatCode>General</c:formatCode>
                <c:ptCount val="5"/>
                <c:pt idx="0">
                  <c:v>387</c:v>
                </c:pt>
                <c:pt idx="1">
                  <c:v>73</c:v>
                </c:pt>
                <c:pt idx="2">
                  <c:v>100</c:v>
                </c:pt>
                <c:pt idx="3">
                  <c:v>49</c:v>
                </c:pt>
                <c:pt idx="4">
                  <c:v>392</c:v>
                </c:pt>
              </c:numCache>
            </c:numRef>
          </c:val>
        </c:ser>
        <c:dLbls>
          <c:showVal val="1"/>
          <c:showCatName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dLbls>
            <c:dLbl>
              <c:idx val="0"/>
              <c:layout/>
              <c:tx>
                <c:rich>
                  <a:bodyPr/>
                  <a:lstStyle/>
                  <a:p>
                    <a:r>
                      <a:rPr lang="vi-VN">
                        <a:latin typeface="Times New Roman" pitchFamily="18" charset="0"/>
                        <a:cs typeface="Times New Roman" pitchFamily="18" charset="0"/>
                      </a:rPr>
                      <a:t>Inspectări efectuate în baza de riscuri</a:t>
                    </a:r>
                    <a:r>
                      <a:rPr lang="vi-VN"/>
                      <a:t>
</a:t>
                    </a:r>
                    <a:r>
                      <a:rPr lang="vi-VN" b="1"/>
                      <a:t>28%</a:t>
                    </a:r>
                    <a:r>
                      <a:rPr lang="ro-RO" b="0">
                        <a:latin typeface="Times New Roman" pitchFamily="18" charset="0"/>
                        <a:cs typeface="Times New Roman" pitchFamily="18" charset="0"/>
                      </a:rPr>
                      <a:t>(conform</a:t>
                    </a:r>
                    <a:r>
                      <a:rPr lang="ro-RO" b="0" baseline="0">
                        <a:latin typeface="Times New Roman" pitchFamily="18" charset="0"/>
                        <a:cs typeface="Times New Roman" pitchFamily="18" charset="0"/>
                      </a:rPr>
                      <a:t> programului de activitate)</a:t>
                    </a:r>
                    <a:endParaRPr lang="vi-VN" b="0">
                      <a:latin typeface="Times New Roman" pitchFamily="18" charset="0"/>
                      <a:cs typeface="Times New Roman" pitchFamily="18" charset="0"/>
                    </a:endParaRPr>
                  </a:p>
                </c:rich>
              </c:tx>
              <c:showCatName val="1"/>
              <c:showPercent val="1"/>
            </c:dLbl>
            <c:dLbl>
              <c:idx val="1"/>
              <c:layout/>
              <c:tx>
                <c:rich>
                  <a:bodyPr/>
                  <a:lstStyle/>
                  <a:p>
                    <a:pPr>
                      <a:defRPr>
                        <a:latin typeface="Times New Roman" pitchFamily="18" charset="0"/>
                        <a:cs typeface="Times New Roman" pitchFamily="18" charset="0"/>
                      </a:defRPr>
                    </a:pPr>
                    <a:r>
                      <a:rPr lang="vi-VN">
                        <a:latin typeface="Times New Roman" pitchFamily="18" charset="0"/>
                        <a:cs typeface="Times New Roman" pitchFamily="18" charset="0"/>
                      </a:rPr>
                      <a:t>La solicitarea autorităților publice centrale
</a:t>
                    </a:r>
                    <a:r>
                      <a:rPr lang="vi-VN" b="1">
                        <a:latin typeface="Times New Roman" pitchFamily="18" charset="0"/>
                        <a:cs typeface="Times New Roman" pitchFamily="18" charset="0"/>
                      </a:rPr>
                      <a:t>7%</a:t>
                    </a:r>
                  </a:p>
                </c:rich>
              </c:tx>
              <c:spPr/>
              <c:showCatName val="1"/>
              <c:showPercent val="1"/>
            </c:dLbl>
            <c:dLbl>
              <c:idx val="2"/>
              <c:layout/>
              <c:tx>
                <c:rich>
                  <a:bodyPr/>
                  <a:lstStyle/>
                  <a:p>
                    <a:r>
                      <a:rPr lang="en-US">
                        <a:latin typeface="Times New Roman" pitchFamily="18" charset="0"/>
                        <a:cs typeface="Times New Roman" pitchFamily="18" charset="0"/>
                      </a:rPr>
                      <a:t>La solicitarea Ministerului Finanțelor</a:t>
                    </a:r>
                    <a:r>
                      <a:rPr lang="en-US"/>
                      <a:t>
</a:t>
                    </a:r>
                    <a:r>
                      <a:rPr lang="en-US" b="1"/>
                      <a:t>11%</a:t>
                    </a:r>
                  </a:p>
                </c:rich>
              </c:tx>
              <c:showCatName val="1"/>
              <c:showPercent val="1"/>
            </c:dLbl>
            <c:dLbl>
              <c:idx val="3"/>
              <c:layout/>
              <c:tx>
                <c:rich>
                  <a:bodyPr/>
                  <a:lstStyle/>
                  <a:p>
                    <a:r>
                      <a:rPr lang="en-US">
                        <a:latin typeface="Times New Roman" pitchFamily="18" charset="0"/>
                        <a:cs typeface="Times New Roman" pitchFamily="18" charset="0"/>
                      </a:rPr>
                      <a:t>La solicitarea organelor de drept</a:t>
                    </a:r>
                    <a:r>
                      <a:rPr lang="en-US"/>
                      <a:t>
</a:t>
                    </a:r>
                    <a:r>
                      <a:rPr lang="en-US" b="1"/>
                      <a:t>38%</a:t>
                    </a:r>
                  </a:p>
                </c:rich>
              </c:tx>
              <c:showCatName val="1"/>
              <c:showPercent val="1"/>
            </c:dLbl>
            <c:dLbl>
              <c:idx val="4"/>
              <c:layout/>
              <c:tx>
                <c:rich>
                  <a:bodyPr/>
                  <a:lstStyle/>
                  <a:p>
                    <a:r>
                      <a:rPr lang="vi-VN">
                        <a:latin typeface="Times New Roman" pitchFamily="18" charset="0"/>
                        <a:cs typeface="Times New Roman" pitchFamily="18" charset="0"/>
                      </a:rPr>
                      <a:t>În baza altor sesizări, petiții, rapoarte
</a:t>
                    </a:r>
                    <a:r>
                      <a:rPr lang="vi-VN" b="1">
                        <a:latin typeface="Times New Roman" pitchFamily="18" charset="0"/>
                        <a:cs typeface="Times New Roman" pitchFamily="18" charset="0"/>
                      </a:rPr>
                      <a:t>16%</a:t>
                    </a:r>
                  </a:p>
                </c:rich>
              </c:tx>
              <c:showCatName val="1"/>
              <c:showPercent val="1"/>
            </c:dLbl>
            <c:showCatName val="1"/>
            <c:showPercent val="1"/>
            <c:showLeaderLines val="1"/>
          </c:dLbls>
          <c:cat>
            <c:strRef>
              <c:f>Лист1!$A$2:$A$6</c:f>
              <c:strCache>
                <c:ptCount val="5"/>
                <c:pt idx="0">
                  <c:v>Inspectări efectuate în baza de riscuri</c:v>
                </c:pt>
                <c:pt idx="1">
                  <c:v>La solicitarea autorităților publice centrale</c:v>
                </c:pt>
                <c:pt idx="2">
                  <c:v>La solicitarea Ministerului Finanțelor</c:v>
                </c:pt>
                <c:pt idx="3">
                  <c:v>La solicitarea organelor de drept</c:v>
                </c:pt>
                <c:pt idx="4">
                  <c:v>În baza altor sesizări, petiții, rapoarte</c:v>
                </c:pt>
              </c:strCache>
            </c:strRef>
          </c:cat>
          <c:val>
            <c:numRef>
              <c:f>Лист1!$B$2:$B$6</c:f>
              <c:numCache>
                <c:formatCode>General</c:formatCode>
                <c:ptCount val="5"/>
                <c:pt idx="0">
                  <c:v>403</c:v>
                </c:pt>
                <c:pt idx="1">
                  <c:v>101</c:v>
                </c:pt>
                <c:pt idx="2">
                  <c:v>150</c:v>
                </c:pt>
                <c:pt idx="3">
                  <c:v>532</c:v>
                </c:pt>
                <c:pt idx="4">
                  <c:v>224</c:v>
                </c:pt>
              </c:numCache>
            </c:numRef>
          </c:val>
        </c:ser>
        <c:dLbls>
          <c:showCatName val="1"/>
          <c:showPercent val="1"/>
        </c:dLbls>
      </c:pie3D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o-RO" baseline="0">
                <a:latin typeface="Times New Roman" pitchFamily="18" charset="0"/>
                <a:cs typeface="Times New Roman" pitchFamily="18" charset="0"/>
              </a:rPr>
              <a:t>Depistate la entitățile supuse inspectărilor financiare</a:t>
            </a:r>
            <a:endParaRPr lang="ru-RU">
              <a:latin typeface="Times New Roman" pitchFamily="18" charset="0"/>
              <a:cs typeface="Times New Roman" pitchFamily="18" charset="0"/>
            </a:endParaRPr>
          </a:p>
        </c:rich>
      </c:tx>
      <c:layout/>
    </c:title>
    <c:view3D>
      <c:rotX val="30"/>
      <c:perspective val="30"/>
    </c:view3D>
    <c:plotArea>
      <c:layout/>
      <c:pie3DChart>
        <c:varyColors val="1"/>
        <c:ser>
          <c:idx val="0"/>
          <c:order val="0"/>
          <c:tx>
            <c:strRef>
              <c:f>Лист1!$B$1</c:f>
              <c:strCache>
                <c:ptCount val="1"/>
                <c:pt idx="0">
                  <c:v>Продажи</c:v>
                </c:pt>
              </c:strCache>
            </c:strRef>
          </c:tx>
          <c:explosion val="25"/>
          <c:cat>
            <c:strRef>
              <c:f>Лист1!$A$2:$A$9</c:f>
              <c:strCache>
                <c:ptCount val="8"/>
                <c:pt idx="0">
                  <c:v>Prejudiciu depistat la entitățile publice 197,3 mln. lei</c:v>
                </c:pt>
                <c:pt idx="1">
                  <c:v>Prejudiciu cauzat statului 112,0 mln. lei</c:v>
                </c:pt>
                <c:pt idx="2">
                  <c:v>Lipsuri depistate 29,4 mln. lei</c:v>
                </c:pt>
                <c:pt idx="3">
                  <c:v>Cheltuieli nelegitime 55,9 mln. lei</c:v>
                </c:pt>
                <c:pt idx="4">
                  <c:v>Cheltuieli nerecuperate 16,5 mln. lei </c:v>
                </c:pt>
                <c:pt idx="5">
                  <c:v>Cheltuieli neregulamentare 271,7 mln. lei </c:v>
                </c:pt>
                <c:pt idx="6">
                  <c:v>La entitățile private 182,2 mln. lei</c:v>
                </c:pt>
                <c:pt idx="7">
                  <c:v>Venitul ratat 160,6 mln. lei</c:v>
                </c:pt>
              </c:strCache>
            </c:strRef>
          </c:cat>
          <c:val>
            <c:numRef>
              <c:f>Лист1!$B$2:$B$9</c:f>
              <c:numCache>
                <c:formatCode>General</c:formatCode>
                <c:ptCount val="8"/>
                <c:pt idx="0">
                  <c:v>197.3</c:v>
                </c:pt>
                <c:pt idx="1">
                  <c:v>112</c:v>
                </c:pt>
                <c:pt idx="2">
                  <c:v>29.4</c:v>
                </c:pt>
                <c:pt idx="3">
                  <c:v>160.6</c:v>
                </c:pt>
                <c:pt idx="4">
                  <c:v>16.5</c:v>
                </c:pt>
                <c:pt idx="5">
                  <c:v>271.7</c:v>
                </c:pt>
                <c:pt idx="6">
                  <c:v>189.2</c:v>
                </c:pt>
              </c:numCache>
            </c:numRef>
          </c:val>
        </c:ser>
      </c:pie3DChart>
    </c:plotArea>
    <c:legend>
      <c:legendPos val="r"/>
      <c:layout>
        <c:manualLayout>
          <c:xMode val="edge"/>
          <c:yMode val="edge"/>
          <c:x val="0.67042099417791001"/>
          <c:y val="0.14293204043470578"/>
          <c:w val="0.31889673507749938"/>
          <c:h val="0.83689991436710442"/>
        </c:manualLayout>
      </c:layout>
      <c:txPr>
        <a:bodyPr/>
        <a:lstStyle/>
        <a:p>
          <a:pPr>
            <a:defRPr>
              <a:latin typeface="Times New Roman" pitchFamily="18" charset="0"/>
              <a:cs typeface="Times New Roman" pitchFamily="18" charset="0"/>
            </a:defRPr>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C7373-641B-4D52-9580-33F8AF56C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5</Pages>
  <Words>930</Words>
  <Characters>5306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vpantelei</dc:creator>
  <cp:keywords/>
  <dc:description/>
  <cp:lastModifiedBy>acius</cp:lastModifiedBy>
  <cp:revision>65</cp:revision>
  <cp:lastPrinted>2018-02-06T06:15:00Z</cp:lastPrinted>
  <dcterms:created xsi:type="dcterms:W3CDTF">2017-07-25T08:10:00Z</dcterms:created>
  <dcterms:modified xsi:type="dcterms:W3CDTF">2018-02-06T09:06:00Z</dcterms:modified>
</cp:coreProperties>
</file>